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A" w:rsidRDefault="00B13F1F" w:rsidP="003928AA">
      <w:pPr>
        <w:spacing w:line="360" w:lineRule="exact"/>
        <w:ind w:rightChars="85" w:right="178"/>
        <w:rPr>
          <w:rFonts w:ascii="Arial" w:hAnsi="Arial" w:cs="Arial" w:hint="eastAsia"/>
          <w:b/>
          <w:sz w:val="28"/>
          <w:szCs w:val="28"/>
        </w:rPr>
      </w:pPr>
      <w:r w:rsidRPr="003928AA">
        <w:rPr>
          <w:rFonts w:ascii="Arial" w:hAnsi="Arial" w:cs="Arial"/>
          <w:b/>
          <w:sz w:val="28"/>
          <w:szCs w:val="28"/>
        </w:rPr>
        <w:t xml:space="preserve">Mouse anti-human Platelet-activating factor </w:t>
      </w:r>
      <w:proofErr w:type="spellStart"/>
      <w:r w:rsidRPr="003928AA">
        <w:rPr>
          <w:rFonts w:ascii="Arial" w:hAnsi="Arial" w:cs="Arial"/>
          <w:b/>
          <w:sz w:val="28"/>
          <w:szCs w:val="28"/>
        </w:rPr>
        <w:t>acetylhydrolase</w:t>
      </w:r>
      <w:proofErr w:type="spellEnd"/>
      <w:r w:rsidRPr="003928AA">
        <w:rPr>
          <w:rFonts w:ascii="Arial" w:hAnsi="Arial" w:cs="Arial"/>
          <w:b/>
          <w:sz w:val="28"/>
          <w:szCs w:val="28"/>
        </w:rPr>
        <w:t xml:space="preserve"> </w:t>
      </w:r>
    </w:p>
    <w:p w:rsidR="00741E8E" w:rsidRPr="003928AA" w:rsidRDefault="00B13F1F" w:rsidP="003928AA">
      <w:pPr>
        <w:spacing w:line="360" w:lineRule="exact"/>
        <w:ind w:rightChars="85" w:right="178"/>
        <w:rPr>
          <w:rFonts w:ascii="Arial" w:hAnsi="Arial" w:cs="Arial"/>
          <w:b/>
          <w:sz w:val="28"/>
          <w:szCs w:val="28"/>
        </w:rPr>
      </w:pPr>
      <w:proofErr w:type="gramStart"/>
      <w:r w:rsidRPr="003928AA">
        <w:rPr>
          <w:rFonts w:ascii="Arial" w:hAnsi="Arial" w:cs="Arial"/>
          <w:b/>
          <w:sz w:val="28"/>
          <w:szCs w:val="28"/>
        </w:rPr>
        <w:t>monoclonal</w:t>
      </w:r>
      <w:proofErr w:type="gramEnd"/>
      <w:r w:rsidRPr="003928AA">
        <w:rPr>
          <w:rFonts w:ascii="Arial" w:hAnsi="Arial" w:cs="Arial"/>
          <w:b/>
          <w:sz w:val="28"/>
          <w:szCs w:val="28"/>
        </w:rPr>
        <w:t xml:space="preserve"> Antibody </w:t>
      </w:r>
    </w:p>
    <w:p w:rsidR="00741E8E" w:rsidRPr="003928AA" w:rsidRDefault="00B13F1F" w:rsidP="003928AA">
      <w:pPr>
        <w:spacing w:beforeLines="50" w:before="156" w:afterLines="50" w:after="156" w:line="160" w:lineRule="exact"/>
        <w:ind w:right="420"/>
        <w:rPr>
          <w:rFonts w:ascii="Arial" w:hAnsi="Arial" w:cs="Arial"/>
          <w:b/>
          <w:kern w:val="0"/>
          <w:sz w:val="24"/>
          <w:szCs w:val="24"/>
        </w:rPr>
      </w:pPr>
      <w:r w:rsidRPr="003928AA">
        <w:rPr>
          <w:rFonts w:ascii="Arial" w:hAnsi="Arial" w:cs="Arial"/>
          <w:b/>
          <w:bCs/>
          <w:kern w:val="0"/>
          <w:sz w:val="24"/>
          <w:szCs w:val="24"/>
        </w:rPr>
        <w:t>Catalog Number:</w:t>
      </w:r>
      <w:r w:rsidRPr="003928AA">
        <w:rPr>
          <w:rFonts w:ascii="Arial" w:hAnsi="Arial" w:cs="Arial"/>
          <w:b/>
          <w:kern w:val="0"/>
          <w:sz w:val="24"/>
          <w:szCs w:val="24"/>
        </w:rPr>
        <w:t xml:space="preserve"> CSB-MA089171A0m</w:t>
      </w: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646"/>
      </w:tblGrid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35" w:type="dxa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t>Synonym Names</w:t>
            </w:r>
            <w:bookmarkStart w:id="0" w:name="_GoBack"/>
            <w:bookmarkEnd w:id="0"/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line="360" w:lineRule="exact"/>
              <w:ind w:rightChars="85" w:right="178"/>
              <w:jc w:val="both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PLA2G7, PAFAH, LP-PLA2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t>Product type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Primary antibodies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t>Description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hd w:val="clear" w:color="auto" w:fill="FFFFFF"/>
              <w:spacing w:before="100" w:beforeAutospacing="1" w:after="100" w:afterAutospacing="1" w:line="360" w:lineRule="exact"/>
              <w:outlineLvl w:val="0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 xml:space="preserve">Mouse monoclonal </w:t>
            </w:r>
            <w:r w:rsidRPr="003928AA">
              <w:rPr>
                <w:rFonts w:ascii="Arial" w:hAnsi="Arial" w:cs="Arial"/>
                <w:kern w:val="0"/>
              </w:rPr>
              <w:t>to</w:t>
            </w:r>
            <w:r w:rsidRPr="003928AA">
              <w:rPr>
                <w:rFonts w:ascii="Arial" w:hAnsi="Arial" w:cs="Arial"/>
                <w:kern w:val="0"/>
              </w:rPr>
              <w:t xml:space="preserve"> </w:t>
            </w:r>
            <w:r w:rsidRPr="003928AA">
              <w:rPr>
                <w:rFonts w:ascii="Arial" w:hAnsi="Arial" w:cs="Arial"/>
                <w:kern w:val="0"/>
              </w:rPr>
              <w:t xml:space="preserve">Platelet-activating factor </w:t>
            </w:r>
            <w:proofErr w:type="spellStart"/>
            <w:r w:rsidRPr="003928AA">
              <w:rPr>
                <w:rFonts w:ascii="Arial" w:hAnsi="Arial" w:cs="Arial"/>
                <w:kern w:val="0"/>
              </w:rPr>
              <w:t>acetylhydrolase</w:t>
            </w:r>
            <w:proofErr w:type="spellEnd"/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t>Reacts with</w:t>
            </w:r>
            <w:r w:rsidRPr="003928AA">
              <w:rPr>
                <w:rFonts w:ascii="Arial" w:hAnsi="Arial" w:cs="Arial"/>
                <w:color w:val="262626"/>
                <w:kern w:val="0"/>
              </w:rPr>
              <w:t> 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Human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 w:rsidRPr="003928AA">
              <w:rPr>
                <w:rFonts w:ascii="Arial" w:hAnsi="Arial" w:cs="Arial"/>
                <w:b/>
                <w:bCs/>
                <w:color w:val="262626"/>
              </w:rPr>
              <w:t>Clonality</w:t>
            </w:r>
            <w:proofErr w:type="spellEnd"/>
            <w:r w:rsidRPr="003928AA"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monoclonal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235" w:type="dxa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kern w:val="0"/>
              </w:rPr>
            </w:pPr>
            <w:proofErr w:type="spellStart"/>
            <w:r w:rsidRPr="003928AA">
              <w:rPr>
                <w:rFonts w:ascii="Arial" w:hAnsi="Arial" w:cs="Arial"/>
                <w:b/>
                <w:bCs/>
                <w:color w:val="262626"/>
              </w:rPr>
              <w:t>Isotype</w:t>
            </w:r>
            <w:proofErr w:type="spellEnd"/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IgG</w:t>
            </w:r>
            <w:r w:rsidRPr="003928AA">
              <w:rPr>
                <w:rFonts w:ascii="Arial" w:hAnsi="Arial" w:cs="Arial"/>
                <w:kern w:val="0"/>
              </w:rPr>
              <w:t>1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t>Purity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&gt;95% by Protein G purified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t>Conjugate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Non-</w:t>
            </w:r>
            <w:r w:rsidRPr="003928AA">
              <w:rPr>
                <w:rFonts w:ascii="Arial" w:hAnsi="Arial" w:cs="Arial"/>
                <w:kern w:val="0"/>
              </w:rPr>
              <w:t>conjugated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color w:val="262626"/>
              </w:rPr>
              <w:t>Storage buffer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Preservative:</w:t>
            </w:r>
            <w:r w:rsidRPr="003928AA">
              <w:rPr>
                <w:rFonts w:ascii="Arial" w:hAnsi="Arial" w:cs="Arial"/>
                <w:kern w:val="0"/>
              </w:rPr>
              <w:t xml:space="preserve"> 0.03% </w:t>
            </w:r>
            <w:proofErr w:type="spellStart"/>
            <w:r w:rsidRPr="003928AA">
              <w:rPr>
                <w:rFonts w:ascii="Arial" w:hAnsi="Arial" w:cs="Arial"/>
                <w:kern w:val="0"/>
              </w:rPr>
              <w:t>Proclin</w:t>
            </w:r>
            <w:proofErr w:type="spellEnd"/>
            <w:r w:rsidRPr="003928AA">
              <w:rPr>
                <w:rFonts w:ascii="Arial" w:hAnsi="Arial" w:cs="Arial"/>
                <w:kern w:val="0"/>
              </w:rPr>
              <w:t xml:space="preserve"> 300</w:t>
            </w:r>
          </w:p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Constituents:</w:t>
            </w:r>
            <w:r w:rsidRPr="003928AA">
              <w:rPr>
                <w:rFonts w:ascii="Arial" w:hAnsi="Arial" w:cs="Arial"/>
                <w:kern w:val="0"/>
              </w:rPr>
              <w:t xml:space="preserve"> 50% Glycerol, 0.01M </w:t>
            </w:r>
            <w:r w:rsidRPr="003928AA">
              <w:rPr>
                <w:rFonts w:ascii="Arial" w:hAnsi="Arial" w:cs="Arial"/>
                <w:kern w:val="0"/>
              </w:rPr>
              <w:t>PB</w:t>
            </w:r>
            <w:r w:rsidRPr="003928AA">
              <w:rPr>
                <w:rFonts w:ascii="Arial" w:hAnsi="Arial" w:cs="Arial"/>
                <w:kern w:val="0"/>
              </w:rPr>
              <w:t>S</w:t>
            </w:r>
            <w:r w:rsidRPr="003928AA">
              <w:rPr>
                <w:rFonts w:ascii="Arial" w:hAnsi="Arial" w:cs="Arial"/>
                <w:kern w:val="0"/>
              </w:rPr>
              <w:t xml:space="preserve">, </w:t>
            </w:r>
            <w:r w:rsidRPr="003928AA">
              <w:rPr>
                <w:rFonts w:ascii="Arial" w:hAnsi="Arial" w:cs="Arial"/>
                <w:kern w:val="0"/>
              </w:rPr>
              <w:t>PH 7.4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t>Storage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Shipped at 4°C Upon</w:t>
            </w:r>
            <w:r w:rsidRPr="003928AA">
              <w:rPr>
                <w:rFonts w:ascii="Arial" w:hAnsi="Arial" w:cs="Arial"/>
                <w:kern w:val="0"/>
              </w:rPr>
              <w:t xml:space="preserve"> delivery aliquot and store at -20°C or -80°C. Avoid rep</w:t>
            </w:r>
            <w:r w:rsidRPr="003928AA">
              <w:rPr>
                <w:rFonts w:ascii="Arial" w:hAnsi="Arial" w:cs="Arial"/>
                <w:kern w:val="0"/>
              </w:rPr>
              <w:t>e</w:t>
            </w:r>
            <w:r w:rsidRPr="003928AA">
              <w:rPr>
                <w:rFonts w:ascii="Arial" w:hAnsi="Arial" w:cs="Arial"/>
                <w:kern w:val="0"/>
              </w:rPr>
              <w:t>ated freeze</w:t>
            </w:r>
            <w:r w:rsidRPr="003928AA">
              <w:rPr>
                <w:rFonts w:ascii="Arial" w:hAnsi="Arial" w:cs="Arial"/>
                <w:kern w:val="0"/>
              </w:rPr>
              <w:t>.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color w:val="262626"/>
              </w:rPr>
              <w:t>Form</w:t>
            </w:r>
            <w:r w:rsidRPr="003928AA"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 xml:space="preserve">Liquid 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color w:val="262626"/>
              </w:rPr>
              <w:t>Raised in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Mouse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color w:val="262626"/>
              </w:rPr>
            </w:pPr>
            <w:r w:rsidRPr="003928AA">
              <w:rPr>
                <w:rFonts w:ascii="Arial" w:hAnsi="Arial" w:cs="Arial"/>
                <w:b/>
                <w:bCs/>
                <w:color w:val="262626"/>
              </w:rPr>
              <w:t>Clone Number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>089171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 w:rsidP="003928AA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color w:val="262626"/>
              </w:rPr>
              <w:t>Tested applications</w:t>
            </w:r>
          </w:p>
        </w:tc>
        <w:tc>
          <w:tcPr>
            <w:tcW w:w="8646" w:type="dxa"/>
            <w:vAlign w:val="center"/>
          </w:tcPr>
          <w:p w:rsidR="00741E8E" w:rsidRPr="003928AA" w:rsidRDefault="00B13F1F" w:rsidP="003928AA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 w:rsidRPr="003928AA">
              <w:rPr>
                <w:rFonts w:ascii="Arial" w:hAnsi="Arial" w:cs="Arial"/>
                <w:kern w:val="0"/>
              </w:rPr>
              <w:t xml:space="preserve">ELISA, </w:t>
            </w:r>
            <w:r w:rsidRPr="003928AA">
              <w:rPr>
                <w:rFonts w:ascii="Arial" w:hAnsi="Arial" w:cs="Arial"/>
                <w:kern w:val="0"/>
              </w:rPr>
              <w:t>WB</w:t>
            </w:r>
            <w:r w:rsidRPr="003928AA">
              <w:rPr>
                <w:rFonts w:ascii="Arial" w:hAnsi="Arial" w:cs="Arial"/>
                <w:kern w:val="0"/>
              </w:rPr>
              <w:t>, IHC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235" w:type="dxa"/>
            <w:vAlign w:val="center"/>
          </w:tcPr>
          <w:p w:rsidR="00741E8E" w:rsidRPr="003928AA" w:rsidRDefault="00B13F1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3928AA">
              <w:rPr>
                <w:rFonts w:ascii="Arial" w:hAnsi="Arial" w:cs="Arial"/>
                <w:b/>
                <w:bCs/>
                <w:color w:val="262626"/>
              </w:rPr>
              <w:t>Image</w:t>
            </w:r>
            <w:r w:rsidRPr="003928AA">
              <w:rPr>
                <w:rFonts w:ascii="Arial" w:hAnsi="Arial" w:cs="Arial"/>
                <w:b/>
                <w:bCs/>
                <w:color w:val="262626"/>
              </w:rPr>
              <w:t>s</w:t>
            </w:r>
          </w:p>
        </w:tc>
        <w:tc>
          <w:tcPr>
            <w:tcW w:w="8646" w:type="dxa"/>
            <w:vAlign w:val="center"/>
          </w:tcPr>
          <w:p w:rsidR="00741E8E" w:rsidRPr="003928AA" w:rsidRDefault="003928AA">
            <w:pPr>
              <w:spacing w:before="100" w:beforeAutospacing="1" w:after="100" w:afterAutospacing="1" w:line="384" w:lineRule="auto"/>
              <w:rPr>
                <w:rFonts w:ascii="Arial" w:hAnsi="Arial" w:cs="Arial"/>
              </w:rPr>
            </w:pPr>
            <w:r w:rsidRPr="003928AA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i1025" type="#_x0000_t75" style="width:78.95pt;height:135.85pt">
                  <v:imagedata r:id="rId8" o:title=""/>
                </v:shape>
              </w:pict>
            </w:r>
          </w:p>
          <w:p w:rsidR="00741E8E" w:rsidRPr="003928AA" w:rsidRDefault="00B13F1F">
            <w:pPr>
              <w:ind w:right="480"/>
              <w:rPr>
                <w:rFonts w:ascii="Arial" w:hAnsi="Arial" w:cs="Arial"/>
                <w:bCs/>
                <w:color w:val="262626"/>
              </w:rPr>
            </w:pPr>
            <w:r w:rsidRPr="003928AA">
              <w:rPr>
                <w:rFonts w:ascii="Arial" w:hAnsi="Arial" w:cs="Arial"/>
                <w:b/>
                <w:color w:val="262626"/>
              </w:rPr>
              <w:t xml:space="preserve">All lanes : </w:t>
            </w:r>
            <w:r w:rsidRPr="003928AA">
              <w:rPr>
                <w:rFonts w:ascii="Arial" w:hAnsi="Arial" w:cs="Arial"/>
                <w:bCs/>
                <w:color w:val="262626"/>
              </w:rPr>
              <w:t xml:space="preserve">Mouse anti-human Platelet-activating factor </w:t>
            </w:r>
            <w:proofErr w:type="spellStart"/>
            <w:r w:rsidRPr="003928AA">
              <w:rPr>
                <w:rFonts w:ascii="Arial" w:hAnsi="Arial" w:cs="Arial"/>
                <w:bCs/>
                <w:color w:val="262626"/>
              </w:rPr>
              <w:t>acetylhydrolase</w:t>
            </w:r>
            <w:proofErr w:type="spellEnd"/>
            <w:r w:rsidRPr="003928AA">
              <w:rPr>
                <w:rFonts w:ascii="Arial" w:hAnsi="Arial" w:cs="Arial"/>
                <w:bCs/>
                <w:color w:val="262626"/>
              </w:rPr>
              <w:t xml:space="preserve"> monoclonal Antibody at </w:t>
            </w:r>
            <w:r w:rsidRPr="003928AA">
              <w:rPr>
                <w:rFonts w:ascii="Arial" w:hAnsi="Arial" w:cs="Arial"/>
                <w:bCs/>
                <w:color w:val="262626"/>
              </w:rPr>
              <w:t>1</w:t>
            </w:r>
            <w:r w:rsidRPr="003928AA">
              <w:rPr>
                <w:rFonts w:ascii="Arial" w:hAnsi="Arial" w:cs="Arial"/>
                <w:bCs/>
                <w:color w:val="262626"/>
              </w:rPr>
              <w:t xml:space="preserve">µg/ml </w:t>
            </w:r>
          </w:p>
          <w:p w:rsidR="00741E8E" w:rsidRPr="003928AA" w:rsidRDefault="00B13F1F">
            <w:pPr>
              <w:ind w:right="480"/>
              <w:rPr>
                <w:rFonts w:ascii="Arial" w:hAnsi="Arial" w:cs="Arial"/>
                <w:bCs/>
                <w:color w:val="262626"/>
              </w:rPr>
            </w:pPr>
            <w:r w:rsidRPr="003928AA">
              <w:rPr>
                <w:rFonts w:ascii="Arial" w:hAnsi="Arial" w:cs="Arial"/>
                <w:b/>
                <w:color w:val="262626"/>
              </w:rPr>
              <w:t>Lane 1:</w:t>
            </w:r>
            <w:r w:rsidRPr="003928AA">
              <w:rPr>
                <w:rFonts w:ascii="Arial" w:hAnsi="Arial" w:cs="Arial"/>
                <w:bCs/>
                <w:color w:val="262626"/>
              </w:rPr>
              <w:t>mouse spleen tissue</w:t>
            </w:r>
          </w:p>
          <w:p w:rsidR="00741E8E" w:rsidRPr="003928AA" w:rsidRDefault="00B13F1F">
            <w:pPr>
              <w:ind w:right="480"/>
              <w:rPr>
                <w:rFonts w:ascii="Arial" w:hAnsi="Arial" w:cs="Arial"/>
                <w:bCs/>
                <w:color w:val="262626"/>
              </w:rPr>
            </w:pPr>
            <w:proofErr w:type="spellStart"/>
            <w:r w:rsidRPr="003928AA">
              <w:rPr>
                <w:rFonts w:ascii="Arial" w:hAnsi="Arial" w:cs="Arial"/>
                <w:b/>
                <w:color w:val="262626"/>
              </w:rPr>
              <w:t>Secondary:</w:t>
            </w:r>
            <w:r w:rsidRPr="003928AA">
              <w:rPr>
                <w:rFonts w:ascii="Arial" w:hAnsi="Arial" w:cs="Arial"/>
                <w:bCs/>
                <w:color w:val="262626"/>
              </w:rPr>
              <w:t>HRP</w:t>
            </w:r>
            <w:proofErr w:type="spellEnd"/>
            <w:r w:rsidRPr="003928AA">
              <w:rPr>
                <w:rFonts w:ascii="Arial" w:hAnsi="Arial" w:cs="Arial"/>
                <w:bCs/>
                <w:color w:val="262626"/>
              </w:rPr>
              <w:t xml:space="preserve"> labeled Goat polyclonal to Mouse </w:t>
            </w:r>
            <w:proofErr w:type="spellStart"/>
            <w:r w:rsidRPr="003928AA">
              <w:rPr>
                <w:rFonts w:ascii="Arial" w:hAnsi="Arial" w:cs="Arial"/>
                <w:bCs/>
                <w:color w:val="262626"/>
              </w:rPr>
              <w:t>IgG</w:t>
            </w:r>
            <w:proofErr w:type="spellEnd"/>
            <w:r w:rsidRPr="003928AA">
              <w:rPr>
                <w:rFonts w:ascii="Arial" w:hAnsi="Arial" w:cs="Arial"/>
                <w:bCs/>
                <w:color w:val="262626"/>
              </w:rPr>
              <w:t xml:space="preserve"> at 1/3000 dilution</w:t>
            </w:r>
          </w:p>
          <w:p w:rsidR="00741E8E" w:rsidRPr="003928AA" w:rsidRDefault="00B13F1F">
            <w:pPr>
              <w:ind w:right="480"/>
              <w:rPr>
                <w:rFonts w:ascii="Arial" w:hAnsi="Arial" w:cs="Arial"/>
                <w:bCs/>
                <w:color w:val="262626"/>
              </w:rPr>
            </w:pPr>
            <w:r w:rsidRPr="003928AA">
              <w:rPr>
                <w:rFonts w:ascii="Arial" w:hAnsi="Arial" w:cs="Arial"/>
                <w:b/>
                <w:color w:val="262626"/>
              </w:rPr>
              <w:t>Predicted band size :</w:t>
            </w:r>
            <w:r w:rsidRPr="003928AA">
              <w:rPr>
                <w:rFonts w:ascii="Arial" w:hAnsi="Arial" w:cs="Arial"/>
                <w:bCs/>
                <w:color w:val="262626"/>
              </w:rPr>
              <w:t xml:space="preserve"> 48kd</w:t>
            </w:r>
          </w:p>
          <w:p w:rsidR="00741E8E" w:rsidRPr="003928AA" w:rsidRDefault="00B13F1F">
            <w:pPr>
              <w:ind w:right="480"/>
              <w:rPr>
                <w:rFonts w:ascii="Arial" w:hAnsi="Arial" w:cs="Arial"/>
                <w:bCs/>
                <w:color w:val="262626"/>
              </w:rPr>
            </w:pPr>
            <w:r w:rsidRPr="003928AA">
              <w:rPr>
                <w:rFonts w:ascii="Arial" w:hAnsi="Arial" w:cs="Arial"/>
                <w:b/>
                <w:color w:val="262626"/>
              </w:rPr>
              <w:t>Observed band size :</w:t>
            </w:r>
            <w:r w:rsidRPr="003928AA">
              <w:rPr>
                <w:rFonts w:ascii="Arial" w:hAnsi="Arial" w:cs="Arial"/>
                <w:bCs/>
                <w:color w:val="262626"/>
              </w:rPr>
              <w:t xml:space="preserve"> 44kd</w:t>
            </w:r>
          </w:p>
          <w:p w:rsidR="00741E8E" w:rsidRPr="003928AA" w:rsidRDefault="00B13F1F">
            <w:pPr>
              <w:ind w:right="480"/>
              <w:rPr>
                <w:rFonts w:ascii="Arial" w:hAnsi="Arial" w:cs="Arial"/>
                <w:bCs/>
                <w:color w:val="262626"/>
              </w:rPr>
            </w:pPr>
            <w:r w:rsidRPr="003928AA">
              <w:rPr>
                <w:rFonts w:ascii="Arial" w:hAnsi="Arial" w:cs="Arial"/>
                <w:b/>
                <w:color w:val="262626"/>
              </w:rPr>
              <w:t xml:space="preserve">Additional bands at: </w:t>
            </w:r>
            <w:proofErr w:type="gramStart"/>
            <w:r w:rsidRPr="003928AA">
              <w:rPr>
                <w:rFonts w:ascii="Arial" w:hAnsi="Arial" w:cs="Arial"/>
                <w:bCs/>
                <w:color w:val="262626"/>
              </w:rPr>
              <w:t>85kd(</w:t>
            </w:r>
            <w:proofErr w:type="gramEnd"/>
            <w:r w:rsidRPr="003928AA">
              <w:rPr>
                <w:rFonts w:ascii="Arial" w:hAnsi="Arial" w:cs="Arial"/>
                <w:bCs/>
                <w:color w:val="262626"/>
              </w:rPr>
              <w:t>We are unsure as to the identity of this extra band.)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vAlign w:val="center"/>
          </w:tcPr>
          <w:p w:rsidR="00741E8E" w:rsidRPr="003928AA" w:rsidRDefault="00B13F1F">
            <w:pPr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color w:val="262626"/>
              </w:rPr>
              <w:t>I</w:t>
            </w:r>
            <w:r w:rsidRPr="003928AA">
              <w:rPr>
                <w:rFonts w:ascii="Arial" w:hAnsi="Arial" w:cs="Arial"/>
                <w:b/>
                <w:bCs/>
                <w:color w:val="262626"/>
              </w:rPr>
              <w:t>ntroduction</w:t>
            </w:r>
          </w:p>
        </w:tc>
        <w:tc>
          <w:tcPr>
            <w:tcW w:w="8646" w:type="dxa"/>
            <w:vAlign w:val="center"/>
          </w:tcPr>
          <w:p w:rsidR="00741E8E" w:rsidRPr="003928AA" w:rsidRDefault="00B13F1F">
            <w:pPr>
              <w:rPr>
                <w:rFonts w:ascii="Arial" w:hAnsi="Arial" w:cs="Arial"/>
                <w:color w:val="262626"/>
              </w:rPr>
            </w:pPr>
            <w:r w:rsidRPr="003928AA">
              <w:rPr>
                <w:rFonts w:ascii="Arial" w:hAnsi="Arial" w:cs="Arial"/>
                <w:color w:val="262626"/>
              </w:rPr>
              <w:t xml:space="preserve">Platelet-activating factor </w:t>
            </w:r>
            <w:proofErr w:type="spellStart"/>
            <w:r w:rsidRPr="003928AA">
              <w:rPr>
                <w:rFonts w:ascii="Arial" w:hAnsi="Arial" w:cs="Arial"/>
                <w:color w:val="262626"/>
              </w:rPr>
              <w:t>acetylhydrolase</w:t>
            </w:r>
            <w:proofErr w:type="spellEnd"/>
            <w:r w:rsidRPr="003928AA">
              <w:rPr>
                <w:rFonts w:ascii="Arial" w:hAnsi="Arial" w:cs="Arial"/>
                <w:color w:val="262626"/>
              </w:rPr>
              <w:t xml:space="preserve"> deficiency (PAFAD</w:t>
            </w:r>
            <w:proofErr w:type="gramStart"/>
            <w:r w:rsidRPr="003928AA">
              <w:rPr>
                <w:rFonts w:ascii="Arial" w:hAnsi="Arial" w:cs="Arial"/>
                <w:color w:val="262626"/>
              </w:rPr>
              <w:t>) :</w:t>
            </w:r>
            <w:proofErr w:type="gramEnd"/>
            <w:r w:rsidRPr="003928AA">
              <w:rPr>
                <w:rFonts w:ascii="Arial" w:hAnsi="Arial" w:cs="Arial"/>
                <w:color w:val="262626"/>
              </w:rPr>
              <w:t xml:space="preserve"> An enzymatic deficiency that results in exacerbated bodily response to inflammatory agents. It can</w:t>
            </w:r>
            <w:r w:rsidRPr="003928AA">
              <w:rPr>
                <w:rFonts w:ascii="Arial" w:hAnsi="Arial" w:cs="Arial"/>
                <w:color w:val="262626"/>
              </w:rPr>
              <w:t xml:space="preserve"> be associated with several disease states including inflammatory gastrointestinal disorders, asthma and </w:t>
            </w:r>
            <w:proofErr w:type="spellStart"/>
            <w:r w:rsidRPr="003928AA">
              <w:rPr>
                <w:rFonts w:ascii="Arial" w:hAnsi="Arial" w:cs="Arial"/>
                <w:color w:val="262626"/>
              </w:rPr>
              <w:t>atopy</w:t>
            </w:r>
            <w:proofErr w:type="spellEnd"/>
            <w:r w:rsidRPr="003928AA">
              <w:rPr>
                <w:rFonts w:ascii="Arial" w:hAnsi="Arial" w:cs="Arial"/>
                <w:color w:val="262626"/>
              </w:rPr>
              <w:t>. Asthmatic individuals with PAFAD may manifest aggravated respiratory symptoms.</w:t>
            </w:r>
          </w:p>
        </w:tc>
      </w:tr>
      <w:tr w:rsidR="00741E8E" w:rsidRPr="003928AA" w:rsidTr="003928A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35" w:type="dxa"/>
            <w:vAlign w:val="center"/>
          </w:tcPr>
          <w:p w:rsidR="00741E8E" w:rsidRPr="003928AA" w:rsidRDefault="00B13F1F">
            <w:pPr>
              <w:rPr>
                <w:rFonts w:ascii="Arial" w:hAnsi="Arial" w:cs="Arial"/>
                <w:b/>
                <w:bCs/>
                <w:kern w:val="0"/>
              </w:rPr>
            </w:pPr>
            <w:r w:rsidRPr="003928AA">
              <w:rPr>
                <w:rFonts w:ascii="Arial" w:hAnsi="Arial" w:cs="Arial"/>
                <w:b/>
                <w:bCs/>
                <w:kern w:val="0"/>
              </w:rPr>
              <w:lastRenderedPageBreak/>
              <w:t>References</w:t>
            </w:r>
          </w:p>
        </w:tc>
        <w:tc>
          <w:tcPr>
            <w:tcW w:w="8646" w:type="dxa"/>
            <w:vAlign w:val="center"/>
          </w:tcPr>
          <w:p w:rsidR="00741E8E" w:rsidRPr="003928AA" w:rsidRDefault="00B13F1F">
            <w:pPr>
              <w:jc w:val="both"/>
              <w:rPr>
                <w:rFonts w:ascii="Arial" w:hAnsi="Arial" w:cs="Arial"/>
              </w:rPr>
            </w:pPr>
            <w:r w:rsidRPr="003928AA">
              <w:rPr>
                <w:rFonts w:ascii="Arial" w:hAnsi="Arial" w:cs="Arial"/>
              </w:rPr>
              <w:t>[1]</w:t>
            </w:r>
            <w:r w:rsidRPr="003928AA">
              <w:rPr>
                <w:rFonts w:ascii="Arial" w:hAnsi="Arial" w:cs="Arial"/>
              </w:rPr>
              <w:t xml:space="preserve"> </w:t>
            </w:r>
            <w:proofErr w:type="spellStart"/>
            <w:r w:rsidRPr="003928AA">
              <w:rPr>
                <w:rFonts w:ascii="Arial" w:hAnsi="Arial" w:cs="Arial"/>
              </w:rPr>
              <w:t>Mungall</w:t>
            </w:r>
            <w:proofErr w:type="spellEnd"/>
            <w:r w:rsidRPr="003928AA">
              <w:rPr>
                <w:rFonts w:ascii="Arial" w:hAnsi="Arial" w:cs="Arial"/>
              </w:rPr>
              <w:t xml:space="preserve"> A.J., Palmer S.A., Sims S.K., Edwards </w:t>
            </w:r>
            <w:r w:rsidRPr="003928AA">
              <w:rPr>
                <w:rFonts w:ascii="Arial" w:hAnsi="Arial" w:cs="Arial"/>
              </w:rPr>
              <w:t xml:space="preserve">C.A., </w:t>
            </w:r>
            <w:proofErr w:type="spellStart"/>
            <w:r w:rsidRPr="003928AA">
              <w:rPr>
                <w:rFonts w:ascii="Arial" w:hAnsi="Arial" w:cs="Arial"/>
              </w:rPr>
              <w:t>Ashurst</w:t>
            </w:r>
            <w:proofErr w:type="spellEnd"/>
            <w:r w:rsidRPr="003928AA">
              <w:rPr>
                <w:rFonts w:ascii="Arial" w:hAnsi="Arial" w:cs="Arial"/>
              </w:rPr>
              <w:t xml:space="preserve"> J.L., </w:t>
            </w:r>
            <w:proofErr w:type="spellStart"/>
            <w:r w:rsidRPr="003928AA">
              <w:rPr>
                <w:rFonts w:ascii="Arial" w:hAnsi="Arial" w:cs="Arial"/>
              </w:rPr>
              <w:t>Wilming</w:t>
            </w:r>
            <w:proofErr w:type="spellEnd"/>
            <w:r w:rsidRPr="003928AA">
              <w:rPr>
                <w:rFonts w:ascii="Arial" w:hAnsi="Arial" w:cs="Arial"/>
              </w:rPr>
              <w:t xml:space="preserve"> L., Jones M.C., Horton R., Hunt S.E., Scott C.E., Gilbert J.G.R., Clamp M.E., Bethel G., Milne S.,</w:t>
            </w:r>
            <w:proofErr w:type="spellStart"/>
            <w:r w:rsidRPr="003928AA">
              <w:rPr>
                <w:rFonts w:ascii="Arial" w:hAnsi="Arial" w:cs="Arial"/>
              </w:rPr>
              <w:t>Ainscough</w:t>
            </w:r>
            <w:proofErr w:type="spellEnd"/>
            <w:r w:rsidRPr="003928AA">
              <w:rPr>
                <w:rFonts w:ascii="Arial" w:hAnsi="Arial" w:cs="Arial"/>
              </w:rPr>
              <w:t xml:space="preserve"> R., Almeida J.P., Ambrose K.D., Andrews </w:t>
            </w:r>
            <w:proofErr w:type="spellStart"/>
            <w:r w:rsidRPr="003928AA">
              <w:rPr>
                <w:rFonts w:ascii="Arial" w:hAnsi="Arial" w:cs="Arial"/>
              </w:rPr>
              <w:t>T.D.Beck</w:t>
            </w:r>
            <w:proofErr w:type="spellEnd"/>
            <w:r w:rsidRPr="003928AA">
              <w:rPr>
                <w:rFonts w:ascii="Arial" w:hAnsi="Arial" w:cs="Arial"/>
              </w:rPr>
              <w:t xml:space="preserve"> </w:t>
            </w:r>
            <w:proofErr w:type="spellStart"/>
            <w:r w:rsidRPr="003928AA">
              <w:rPr>
                <w:rFonts w:ascii="Arial" w:hAnsi="Arial" w:cs="Arial"/>
              </w:rPr>
              <w:t>S.The</w:t>
            </w:r>
            <w:proofErr w:type="spellEnd"/>
            <w:r w:rsidRPr="003928AA">
              <w:rPr>
                <w:rFonts w:ascii="Arial" w:hAnsi="Arial" w:cs="Arial"/>
              </w:rPr>
              <w:t xml:space="preserve"> DNA sequence and analysis of human chromosome 6.Nature</w:t>
            </w:r>
            <w:r w:rsidRPr="003928AA">
              <w:rPr>
                <w:rFonts w:ascii="Arial" w:hAnsi="Arial" w:cs="Arial"/>
              </w:rPr>
              <w:t>,2003,</w:t>
            </w:r>
            <w:r w:rsidRPr="003928AA">
              <w:rPr>
                <w:rFonts w:ascii="Arial" w:hAnsi="Arial" w:cs="Arial"/>
              </w:rPr>
              <w:t xml:space="preserve"> 425:</w:t>
            </w:r>
            <w:r w:rsidRPr="003928AA">
              <w:rPr>
                <w:rFonts w:ascii="Arial" w:hAnsi="Arial" w:cs="Arial"/>
              </w:rPr>
              <w:t>805-811</w:t>
            </w:r>
            <w:r w:rsidRPr="003928AA">
              <w:rPr>
                <w:rFonts w:ascii="Arial" w:hAnsi="Arial" w:cs="Arial"/>
              </w:rPr>
              <w:t>.</w:t>
            </w:r>
          </w:p>
          <w:p w:rsidR="00741E8E" w:rsidRPr="003928AA" w:rsidRDefault="00B13F1F">
            <w:pPr>
              <w:jc w:val="both"/>
              <w:rPr>
                <w:rFonts w:ascii="Arial" w:hAnsi="Arial" w:cs="Arial"/>
              </w:rPr>
            </w:pPr>
            <w:r w:rsidRPr="003928AA">
              <w:rPr>
                <w:rFonts w:ascii="Arial" w:hAnsi="Arial" w:cs="Arial"/>
              </w:rPr>
              <w:t xml:space="preserve">[2] The MGC Project </w:t>
            </w:r>
            <w:proofErr w:type="spellStart"/>
            <w:r w:rsidRPr="003928AA">
              <w:rPr>
                <w:rFonts w:ascii="Arial" w:hAnsi="Arial" w:cs="Arial"/>
              </w:rPr>
              <w:t>Team</w:t>
            </w:r>
            <w:r w:rsidRPr="003928AA">
              <w:rPr>
                <w:rFonts w:ascii="Arial" w:hAnsi="Arial" w:cs="Arial"/>
              </w:rPr>
              <w:t>.The</w:t>
            </w:r>
            <w:proofErr w:type="spellEnd"/>
            <w:r w:rsidRPr="003928AA">
              <w:rPr>
                <w:rFonts w:ascii="Arial" w:hAnsi="Arial" w:cs="Arial"/>
              </w:rPr>
              <w:t xml:space="preserve"> status, quality, and expansion of the NIH full-length </w:t>
            </w:r>
            <w:proofErr w:type="spellStart"/>
            <w:r w:rsidRPr="003928AA">
              <w:rPr>
                <w:rFonts w:ascii="Arial" w:hAnsi="Arial" w:cs="Arial"/>
              </w:rPr>
              <w:t>cDNA</w:t>
            </w:r>
            <w:proofErr w:type="spellEnd"/>
            <w:r w:rsidRPr="003928AA">
              <w:rPr>
                <w:rFonts w:ascii="Arial" w:hAnsi="Arial" w:cs="Arial"/>
              </w:rPr>
              <w:t xml:space="preserve"> project: the Mammalian Gene Collection (MGC).Genome Res.2004, 14:2121-2127.</w:t>
            </w:r>
            <w:r w:rsidRPr="003928AA">
              <w:rPr>
                <w:rFonts w:ascii="Arial" w:hAnsi="Arial" w:cs="Arial"/>
              </w:rPr>
              <w:t xml:space="preserve"> </w:t>
            </w:r>
          </w:p>
          <w:p w:rsidR="00741E8E" w:rsidRPr="003928AA" w:rsidRDefault="00B13F1F">
            <w:pPr>
              <w:jc w:val="both"/>
              <w:rPr>
                <w:rFonts w:ascii="Arial" w:hAnsi="Arial" w:cs="Arial"/>
              </w:rPr>
            </w:pPr>
            <w:r w:rsidRPr="003928AA">
              <w:rPr>
                <w:rFonts w:ascii="Arial" w:hAnsi="Arial" w:cs="Arial"/>
              </w:rPr>
              <w:t xml:space="preserve">[3] </w:t>
            </w:r>
            <w:proofErr w:type="spellStart"/>
            <w:r w:rsidRPr="003928AA">
              <w:rPr>
                <w:rFonts w:ascii="Arial" w:hAnsi="Arial" w:cs="Arial"/>
              </w:rPr>
              <w:t>Samanta</w:t>
            </w:r>
            <w:proofErr w:type="spellEnd"/>
            <w:r w:rsidRPr="003928AA">
              <w:rPr>
                <w:rFonts w:ascii="Arial" w:hAnsi="Arial" w:cs="Arial"/>
              </w:rPr>
              <w:t xml:space="preserve"> U., </w:t>
            </w:r>
            <w:proofErr w:type="spellStart"/>
            <w:r w:rsidRPr="003928AA">
              <w:rPr>
                <w:rFonts w:ascii="Arial" w:hAnsi="Arial" w:cs="Arial"/>
              </w:rPr>
              <w:t>Bahnson</w:t>
            </w:r>
            <w:proofErr w:type="spellEnd"/>
            <w:r w:rsidRPr="003928AA">
              <w:rPr>
                <w:rFonts w:ascii="Arial" w:hAnsi="Arial" w:cs="Arial"/>
              </w:rPr>
              <w:t xml:space="preserve"> </w:t>
            </w:r>
            <w:proofErr w:type="spellStart"/>
            <w:r w:rsidRPr="003928AA">
              <w:rPr>
                <w:rFonts w:ascii="Arial" w:hAnsi="Arial" w:cs="Arial"/>
              </w:rPr>
              <w:t>B.J.Crystal</w:t>
            </w:r>
            <w:proofErr w:type="spellEnd"/>
            <w:r w:rsidRPr="003928AA">
              <w:rPr>
                <w:rFonts w:ascii="Arial" w:hAnsi="Arial" w:cs="Arial"/>
              </w:rPr>
              <w:t xml:space="preserve"> structure of human plasma platelet-activating </w:t>
            </w:r>
            <w:r w:rsidRPr="003928AA">
              <w:rPr>
                <w:rFonts w:ascii="Arial" w:hAnsi="Arial" w:cs="Arial"/>
              </w:rPr>
              <w:t xml:space="preserve">factor </w:t>
            </w:r>
            <w:proofErr w:type="spellStart"/>
            <w:r w:rsidRPr="003928AA">
              <w:rPr>
                <w:rFonts w:ascii="Arial" w:hAnsi="Arial" w:cs="Arial"/>
              </w:rPr>
              <w:t>acetylhydrolase</w:t>
            </w:r>
            <w:proofErr w:type="spellEnd"/>
            <w:r w:rsidRPr="003928AA">
              <w:rPr>
                <w:rFonts w:ascii="Arial" w:hAnsi="Arial" w:cs="Arial"/>
              </w:rPr>
              <w:t xml:space="preserve">: structural implication to lipoprotein binding and </w:t>
            </w:r>
            <w:proofErr w:type="spellStart"/>
            <w:r w:rsidRPr="003928AA">
              <w:rPr>
                <w:rFonts w:ascii="Arial" w:hAnsi="Arial" w:cs="Arial"/>
              </w:rPr>
              <w:t>catalysis.J</w:t>
            </w:r>
            <w:proofErr w:type="spellEnd"/>
            <w:r w:rsidRPr="003928AA">
              <w:rPr>
                <w:rFonts w:ascii="Arial" w:hAnsi="Arial" w:cs="Arial"/>
              </w:rPr>
              <w:t>. Biol. Chem.</w:t>
            </w:r>
            <w:r w:rsidRPr="003928AA">
              <w:rPr>
                <w:rFonts w:ascii="Arial" w:hAnsi="Arial" w:cs="Arial"/>
              </w:rPr>
              <w:t>2008,</w:t>
            </w:r>
            <w:r w:rsidRPr="003928AA">
              <w:rPr>
                <w:rFonts w:ascii="Arial" w:hAnsi="Arial" w:cs="Arial"/>
              </w:rPr>
              <w:t xml:space="preserve"> 283:31617-31624</w:t>
            </w:r>
            <w:r w:rsidRPr="003928AA">
              <w:rPr>
                <w:rFonts w:ascii="Arial" w:hAnsi="Arial" w:cs="Arial"/>
              </w:rPr>
              <w:t>.</w:t>
            </w:r>
          </w:p>
          <w:p w:rsidR="00741E8E" w:rsidRPr="003928AA" w:rsidRDefault="00B13F1F">
            <w:pPr>
              <w:jc w:val="both"/>
              <w:rPr>
                <w:rFonts w:ascii="Arial" w:hAnsi="Arial" w:cs="Arial"/>
              </w:rPr>
            </w:pPr>
            <w:r w:rsidRPr="003928AA">
              <w:rPr>
                <w:rFonts w:ascii="Arial" w:hAnsi="Arial" w:cs="Arial"/>
              </w:rPr>
              <w:t xml:space="preserve">[4] </w:t>
            </w:r>
            <w:proofErr w:type="spellStart"/>
            <w:r w:rsidRPr="003928AA">
              <w:rPr>
                <w:rFonts w:ascii="Arial" w:hAnsi="Arial" w:cs="Arial"/>
              </w:rPr>
              <w:t>Samanta</w:t>
            </w:r>
            <w:proofErr w:type="spellEnd"/>
            <w:r w:rsidRPr="003928AA">
              <w:rPr>
                <w:rFonts w:ascii="Arial" w:hAnsi="Arial" w:cs="Arial"/>
              </w:rPr>
              <w:t xml:space="preserve"> U., Kirby S.D., </w:t>
            </w:r>
            <w:proofErr w:type="spellStart"/>
            <w:r w:rsidRPr="003928AA">
              <w:rPr>
                <w:rFonts w:ascii="Arial" w:hAnsi="Arial" w:cs="Arial"/>
              </w:rPr>
              <w:t>Srinivasan</w:t>
            </w:r>
            <w:proofErr w:type="spellEnd"/>
            <w:r w:rsidRPr="003928AA">
              <w:rPr>
                <w:rFonts w:ascii="Arial" w:hAnsi="Arial" w:cs="Arial"/>
              </w:rPr>
              <w:t xml:space="preserve"> P., </w:t>
            </w:r>
            <w:proofErr w:type="spellStart"/>
            <w:r w:rsidRPr="003928AA">
              <w:rPr>
                <w:rFonts w:ascii="Arial" w:hAnsi="Arial" w:cs="Arial"/>
              </w:rPr>
              <w:t>Cerasoli</w:t>
            </w:r>
            <w:proofErr w:type="spellEnd"/>
            <w:r w:rsidRPr="003928AA">
              <w:rPr>
                <w:rFonts w:ascii="Arial" w:hAnsi="Arial" w:cs="Arial"/>
              </w:rPr>
              <w:t xml:space="preserve"> D.M., </w:t>
            </w:r>
            <w:proofErr w:type="spellStart"/>
            <w:r w:rsidRPr="003928AA">
              <w:rPr>
                <w:rFonts w:ascii="Arial" w:hAnsi="Arial" w:cs="Arial"/>
              </w:rPr>
              <w:t>Bahnson</w:t>
            </w:r>
            <w:proofErr w:type="spellEnd"/>
            <w:r w:rsidRPr="003928AA">
              <w:rPr>
                <w:rFonts w:ascii="Arial" w:hAnsi="Arial" w:cs="Arial"/>
              </w:rPr>
              <w:t xml:space="preserve"> </w:t>
            </w:r>
            <w:proofErr w:type="spellStart"/>
            <w:r w:rsidRPr="003928AA">
              <w:rPr>
                <w:rFonts w:ascii="Arial" w:hAnsi="Arial" w:cs="Arial"/>
              </w:rPr>
              <w:t>B.J.Crystal</w:t>
            </w:r>
            <w:proofErr w:type="spellEnd"/>
            <w:r w:rsidRPr="003928AA">
              <w:rPr>
                <w:rFonts w:ascii="Arial" w:hAnsi="Arial" w:cs="Arial"/>
              </w:rPr>
              <w:t xml:space="preserve"> structures of human group-VIIA phospholipase A2 inhibited</w:t>
            </w:r>
            <w:r w:rsidRPr="003928AA">
              <w:rPr>
                <w:rFonts w:ascii="Arial" w:hAnsi="Arial" w:cs="Arial"/>
              </w:rPr>
              <w:t xml:space="preserve"> by </w:t>
            </w:r>
            <w:proofErr w:type="spellStart"/>
            <w:r w:rsidRPr="003928AA">
              <w:rPr>
                <w:rFonts w:ascii="Arial" w:hAnsi="Arial" w:cs="Arial"/>
              </w:rPr>
              <w:t>organophosphorus</w:t>
            </w:r>
            <w:proofErr w:type="spellEnd"/>
            <w:r w:rsidRPr="003928AA">
              <w:rPr>
                <w:rFonts w:ascii="Arial" w:hAnsi="Arial" w:cs="Arial"/>
              </w:rPr>
              <w:t xml:space="preserve"> nerve agents exhibit non-aged </w:t>
            </w:r>
            <w:proofErr w:type="spellStart"/>
            <w:r w:rsidRPr="003928AA">
              <w:rPr>
                <w:rFonts w:ascii="Arial" w:hAnsi="Arial" w:cs="Arial"/>
              </w:rPr>
              <w:t>complexes.Biochem</w:t>
            </w:r>
            <w:proofErr w:type="spellEnd"/>
            <w:r w:rsidRPr="003928AA">
              <w:rPr>
                <w:rFonts w:ascii="Arial" w:hAnsi="Arial" w:cs="Arial"/>
              </w:rPr>
              <w:t>. Pharmacol.</w:t>
            </w:r>
            <w:r w:rsidRPr="003928AA">
              <w:rPr>
                <w:rFonts w:ascii="Arial" w:hAnsi="Arial" w:cs="Arial"/>
              </w:rPr>
              <w:t>2009,</w:t>
            </w:r>
            <w:r w:rsidRPr="003928AA">
              <w:rPr>
                <w:rFonts w:ascii="Arial" w:hAnsi="Arial" w:cs="Arial"/>
              </w:rPr>
              <w:t xml:space="preserve"> 78:420-429</w:t>
            </w:r>
            <w:r w:rsidRPr="003928AA">
              <w:rPr>
                <w:rFonts w:ascii="Arial" w:hAnsi="Arial" w:cs="Arial"/>
              </w:rPr>
              <w:t>.</w:t>
            </w:r>
          </w:p>
          <w:p w:rsidR="00741E8E" w:rsidRPr="003928AA" w:rsidRDefault="00B13F1F">
            <w:pPr>
              <w:jc w:val="both"/>
              <w:rPr>
                <w:rFonts w:ascii="Arial" w:hAnsi="Arial" w:cs="Arial"/>
              </w:rPr>
            </w:pPr>
            <w:r w:rsidRPr="003928AA">
              <w:rPr>
                <w:rFonts w:ascii="Arial" w:hAnsi="Arial" w:cs="Arial"/>
              </w:rPr>
              <w:t xml:space="preserve">[5] Kruse S., Mao X.-Q., </w:t>
            </w:r>
            <w:proofErr w:type="spellStart"/>
            <w:r w:rsidRPr="003928AA">
              <w:rPr>
                <w:rFonts w:ascii="Arial" w:hAnsi="Arial" w:cs="Arial"/>
              </w:rPr>
              <w:t>Heinzmann</w:t>
            </w:r>
            <w:proofErr w:type="spellEnd"/>
            <w:r w:rsidRPr="003928AA">
              <w:rPr>
                <w:rFonts w:ascii="Arial" w:hAnsi="Arial" w:cs="Arial"/>
              </w:rPr>
              <w:t xml:space="preserve"> A., </w:t>
            </w:r>
            <w:proofErr w:type="spellStart"/>
            <w:r w:rsidRPr="003928AA">
              <w:rPr>
                <w:rFonts w:ascii="Arial" w:hAnsi="Arial" w:cs="Arial"/>
              </w:rPr>
              <w:t>Blattmann</w:t>
            </w:r>
            <w:proofErr w:type="spellEnd"/>
            <w:r w:rsidRPr="003928AA">
              <w:rPr>
                <w:rFonts w:ascii="Arial" w:hAnsi="Arial" w:cs="Arial"/>
              </w:rPr>
              <w:t xml:space="preserve"> S., Roberts M.H., Braun S., </w:t>
            </w:r>
            <w:proofErr w:type="spellStart"/>
            <w:r w:rsidRPr="003928AA">
              <w:rPr>
                <w:rFonts w:ascii="Arial" w:hAnsi="Arial" w:cs="Arial"/>
              </w:rPr>
              <w:t>Gao</w:t>
            </w:r>
            <w:proofErr w:type="spellEnd"/>
            <w:r w:rsidRPr="003928AA">
              <w:rPr>
                <w:rFonts w:ascii="Arial" w:hAnsi="Arial" w:cs="Arial"/>
              </w:rPr>
              <w:t xml:space="preserve"> P.-S., Forster J., </w:t>
            </w:r>
            <w:proofErr w:type="spellStart"/>
            <w:r w:rsidRPr="003928AA">
              <w:rPr>
                <w:rFonts w:ascii="Arial" w:hAnsi="Arial" w:cs="Arial"/>
              </w:rPr>
              <w:t>Kuehr</w:t>
            </w:r>
            <w:proofErr w:type="spellEnd"/>
            <w:r w:rsidRPr="003928AA">
              <w:rPr>
                <w:rFonts w:ascii="Arial" w:hAnsi="Arial" w:cs="Arial"/>
              </w:rPr>
              <w:t xml:space="preserve"> J., </w:t>
            </w:r>
            <w:proofErr w:type="spellStart"/>
            <w:r w:rsidRPr="003928AA">
              <w:rPr>
                <w:rFonts w:ascii="Arial" w:hAnsi="Arial" w:cs="Arial"/>
              </w:rPr>
              <w:t>Hopkin</w:t>
            </w:r>
            <w:proofErr w:type="spellEnd"/>
            <w:r w:rsidRPr="003928AA">
              <w:rPr>
                <w:rFonts w:ascii="Arial" w:hAnsi="Arial" w:cs="Arial"/>
              </w:rPr>
              <w:t xml:space="preserve"> J.M., </w:t>
            </w:r>
            <w:proofErr w:type="spellStart"/>
            <w:r w:rsidRPr="003928AA">
              <w:rPr>
                <w:rFonts w:ascii="Arial" w:hAnsi="Arial" w:cs="Arial"/>
              </w:rPr>
              <w:t>Shirakawa</w:t>
            </w:r>
            <w:proofErr w:type="spellEnd"/>
            <w:r w:rsidRPr="003928AA">
              <w:rPr>
                <w:rFonts w:ascii="Arial" w:hAnsi="Arial" w:cs="Arial"/>
              </w:rPr>
              <w:t xml:space="preserve"> T., </w:t>
            </w:r>
            <w:proofErr w:type="spellStart"/>
            <w:r w:rsidRPr="003928AA">
              <w:rPr>
                <w:rFonts w:ascii="Arial" w:hAnsi="Arial" w:cs="Arial"/>
              </w:rPr>
              <w:t>Deichmann</w:t>
            </w:r>
            <w:proofErr w:type="spellEnd"/>
            <w:r w:rsidRPr="003928AA">
              <w:rPr>
                <w:rFonts w:ascii="Arial" w:hAnsi="Arial" w:cs="Arial"/>
              </w:rPr>
              <w:t xml:space="preserve"> </w:t>
            </w:r>
            <w:proofErr w:type="spellStart"/>
            <w:r w:rsidRPr="003928AA">
              <w:rPr>
                <w:rFonts w:ascii="Arial" w:hAnsi="Arial" w:cs="Arial"/>
              </w:rPr>
              <w:t>K.A.The</w:t>
            </w:r>
            <w:proofErr w:type="spellEnd"/>
            <w:r w:rsidRPr="003928AA">
              <w:rPr>
                <w:rFonts w:ascii="Arial" w:hAnsi="Arial" w:cs="Arial"/>
              </w:rPr>
              <w:t xml:space="preserve"> Ile</w:t>
            </w:r>
            <w:r w:rsidRPr="003928AA">
              <w:rPr>
                <w:rFonts w:ascii="Arial" w:hAnsi="Arial" w:cs="Arial"/>
              </w:rPr>
              <w:t>198Thr and Ala379Val variants of plasmatic PAF-</w:t>
            </w:r>
            <w:proofErr w:type="spellStart"/>
            <w:r w:rsidRPr="003928AA">
              <w:rPr>
                <w:rFonts w:ascii="Arial" w:hAnsi="Arial" w:cs="Arial"/>
              </w:rPr>
              <w:t>acetylhydrolase</w:t>
            </w:r>
            <w:proofErr w:type="spellEnd"/>
            <w:r w:rsidRPr="003928AA">
              <w:rPr>
                <w:rFonts w:ascii="Arial" w:hAnsi="Arial" w:cs="Arial"/>
              </w:rPr>
              <w:t xml:space="preserve"> impair </w:t>
            </w:r>
            <w:proofErr w:type="spellStart"/>
            <w:r w:rsidRPr="003928AA">
              <w:rPr>
                <w:rFonts w:ascii="Arial" w:hAnsi="Arial" w:cs="Arial"/>
              </w:rPr>
              <w:t>catalytical</w:t>
            </w:r>
            <w:proofErr w:type="spellEnd"/>
            <w:r w:rsidRPr="003928AA">
              <w:rPr>
                <w:rFonts w:ascii="Arial" w:hAnsi="Arial" w:cs="Arial"/>
              </w:rPr>
              <w:t xml:space="preserve"> activities and are associated with </w:t>
            </w:r>
            <w:proofErr w:type="spellStart"/>
            <w:r w:rsidRPr="003928AA">
              <w:rPr>
                <w:rFonts w:ascii="Arial" w:hAnsi="Arial" w:cs="Arial"/>
              </w:rPr>
              <w:t>atopy</w:t>
            </w:r>
            <w:proofErr w:type="spellEnd"/>
            <w:r w:rsidRPr="003928AA">
              <w:rPr>
                <w:rFonts w:ascii="Arial" w:hAnsi="Arial" w:cs="Arial"/>
              </w:rPr>
              <w:t xml:space="preserve"> and </w:t>
            </w:r>
            <w:proofErr w:type="spellStart"/>
            <w:r w:rsidRPr="003928AA">
              <w:rPr>
                <w:rFonts w:ascii="Arial" w:hAnsi="Arial" w:cs="Arial"/>
              </w:rPr>
              <w:t>asthma.Am</w:t>
            </w:r>
            <w:proofErr w:type="spellEnd"/>
            <w:r w:rsidRPr="003928AA">
              <w:rPr>
                <w:rFonts w:ascii="Arial" w:hAnsi="Arial" w:cs="Arial"/>
              </w:rPr>
              <w:t>. J. Hum. Genet.</w:t>
            </w:r>
            <w:r w:rsidRPr="003928AA">
              <w:rPr>
                <w:rFonts w:ascii="Arial" w:hAnsi="Arial" w:cs="Arial"/>
              </w:rPr>
              <w:t>2000,</w:t>
            </w:r>
            <w:r w:rsidRPr="003928AA">
              <w:rPr>
                <w:rFonts w:ascii="Arial" w:hAnsi="Arial" w:cs="Arial"/>
              </w:rPr>
              <w:t xml:space="preserve"> 66:1522-1530</w:t>
            </w:r>
            <w:r w:rsidRPr="003928AA">
              <w:rPr>
                <w:rFonts w:ascii="Arial" w:hAnsi="Arial" w:cs="Arial"/>
              </w:rPr>
              <w:t>.</w:t>
            </w:r>
          </w:p>
          <w:p w:rsidR="00741E8E" w:rsidRPr="003928AA" w:rsidRDefault="00B13F1F" w:rsidP="003928AA">
            <w:pPr>
              <w:jc w:val="both"/>
              <w:rPr>
                <w:rFonts w:ascii="Arial" w:hAnsi="Arial" w:cs="Arial"/>
              </w:rPr>
            </w:pPr>
            <w:r w:rsidRPr="003928AA">
              <w:rPr>
                <w:rFonts w:ascii="Arial" w:hAnsi="Arial" w:cs="Arial"/>
              </w:rPr>
              <w:t xml:space="preserve">[6] Hoffmann M.M., Winkler K., Renner W., </w:t>
            </w:r>
            <w:proofErr w:type="spellStart"/>
            <w:r w:rsidRPr="003928AA">
              <w:rPr>
                <w:rFonts w:ascii="Arial" w:hAnsi="Arial" w:cs="Arial"/>
              </w:rPr>
              <w:t>Winkelmann</w:t>
            </w:r>
            <w:proofErr w:type="spellEnd"/>
            <w:r w:rsidRPr="003928AA">
              <w:rPr>
                <w:rFonts w:ascii="Arial" w:hAnsi="Arial" w:cs="Arial"/>
              </w:rPr>
              <w:t xml:space="preserve"> B.R., </w:t>
            </w:r>
            <w:proofErr w:type="spellStart"/>
            <w:r w:rsidRPr="003928AA">
              <w:rPr>
                <w:rFonts w:ascii="Arial" w:hAnsi="Arial" w:cs="Arial"/>
              </w:rPr>
              <w:t>Seelhorst</w:t>
            </w:r>
            <w:proofErr w:type="spellEnd"/>
            <w:r w:rsidRPr="003928AA">
              <w:rPr>
                <w:rFonts w:ascii="Arial" w:hAnsi="Arial" w:cs="Arial"/>
              </w:rPr>
              <w:t xml:space="preserve"> U., </w:t>
            </w:r>
            <w:proofErr w:type="spellStart"/>
            <w:r w:rsidRPr="003928AA">
              <w:rPr>
                <w:rFonts w:ascii="Arial" w:hAnsi="Arial" w:cs="Arial"/>
              </w:rPr>
              <w:t>Wellnitz</w:t>
            </w:r>
            <w:proofErr w:type="spellEnd"/>
            <w:r w:rsidRPr="003928AA">
              <w:rPr>
                <w:rFonts w:ascii="Arial" w:hAnsi="Arial" w:cs="Arial"/>
              </w:rPr>
              <w:t xml:space="preserve"> B.</w:t>
            </w:r>
            <w:r w:rsidRPr="003928AA">
              <w:rPr>
                <w:rFonts w:ascii="Arial" w:hAnsi="Arial" w:cs="Arial"/>
              </w:rPr>
              <w:t xml:space="preserve">, Boehm B.O., </w:t>
            </w:r>
            <w:proofErr w:type="spellStart"/>
            <w:r w:rsidRPr="003928AA">
              <w:rPr>
                <w:rFonts w:ascii="Arial" w:hAnsi="Arial" w:cs="Arial"/>
              </w:rPr>
              <w:t>Marz</w:t>
            </w:r>
            <w:proofErr w:type="spellEnd"/>
            <w:r w:rsidRPr="003928AA">
              <w:rPr>
                <w:rFonts w:ascii="Arial" w:hAnsi="Arial" w:cs="Arial"/>
              </w:rPr>
              <w:t xml:space="preserve"> </w:t>
            </w:r>
            <w:proofErr w:type="spellStart"/>
            <w:r w:rsidRPr="003928AA">
              <w:rPr>
                <w:rFonts w:ascii="Arial" w:hAnsi="Arial" w:cs="Arial"/>
              </w:rPr>
              <w:t>W.Genetic</w:t>
            </w:r>
            <w:proofErr w:type="spellEnd"/>
            <w:r w:rsidRPr="003928AA">
              <w:rPr>
                <w:rFonts w:ascii="Arial" w:hAnsi="Arial" w:cs="Arial"/>
              </w:rPr>
              <w:t xml:space="preserve"> variants and haplotypes of lipoprotein associated phospholipase A2 and their influence on cardiovascular disease (The Ludwigshafen Risk and Cardiovascular Health Study).J. </w:t>
            </w:r>
            <w:proofErr w:type="spellStart"/>
            <w:r w:rsidRPr="003928AA">
              <w:rPr>
                <w:rFonts w:ascii="Arial" w:hAnsi="Arial" w:cs="Arial"/>
              </w:rPr>
              <w:t>Thromb</w:t>
            </w:r>
            <w:proofErr w:type="spellEnd"/>
            <w:r w:rsidRPr="003928AA">
              <w:rPr>
                <w:rFonts w:ascii="Arial" w:hAnsi="Arial" w:cs="Arial"/>
              </w:rPr>
              <w:t>. Haemost.</w:t>
            </w:r>
            <w:r w:rsidRPr="003928AA">
              <w:rPr>
                <w:rFonts w:ascii="Arial" w:hAnsi="Arial" w:cs="Arial"/>
              </w:rPr>
              <w:t>2009,</w:t>
            </w:r>
            <w:r w:rsidRPr="003928AA">
              <w:rPr>
                <w:rFonts w:ascii="Arial" w:hAnsi="Arial" w:cs="Arial"/>
              </w:rPr>
              <w:t xml:space="preserve"> 7:41-48</w:t>
            </w:r>
            <w:r w:rsidRPr="003928AA">
              <w:rPr>
                <w:rFonts w:ascii="Arial" w:hAnsi="Arial" w:cs="Arial"/>
              </w:rPr>
              <w:t>.</w:t>
            </w:r>
          </w:p>
        </w:tc>
      </w:tr>
    </w:tbl>
    <w:p w:rsidR="00741E8E" w:rsidRPr="003928AA" w:rsidRDefault="00741E8E">
      <w:pPr>
        <w:rPr>
          <w:rFonts w:ascii="Arial" w:hAnsi="Arial" w:cs="Arial"/>
          <w:szCs w:val="18"/>
        </w:rPr>
      </w:pPr>
    </w:p>
    <w:sectPr w:rsidR="00741E8E" w:rsidRPr="003928AA" w:rsidSect="003928AA">
      <w:headerReference w:type="default" r:id="rId9"/>
      <w:pgSz w:w="11906" w:h="16838"/>
      <w:pgMar w:top="1985" w:right="567" w:bottom="851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1F" w:rsidRDefault="00B13F1F">
      <w:r>
        <w:separator/>
      </w:r>
    </w:p>
  </w:endnote>
  <w:endnote w:type="continuationSeparator" w:id="0">
    <w:p w:rsidR="00B13F1F" w:rsidRDefault="00B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1F" w:rsidRDefault="00B13F1F">
      <w:r>
        <w:separator/>
      </w:r>
    </w:p>
  </w:footnote>
  <w:footnote w:type="continuationSeparator" w:id="0">
    <w:p w:rsidR="00B13F1F" w:rsidRDefault="00B1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8E" w:rsidRDefault="00B13F1F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45pt;margin-top:-42.15pt;width:595.5pt;height:842.25pt;z-index:-1">
          <v:imagedata r:id="rId1" o:title="ssssss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E8E"/>
    <w:rsid w:val="003928AA"/>
    <w:rsid w:val="00741E8E"/>
    <w:rsid w:val="00AF2F65"/>
    <w:rsid w:val="00B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Anti-Flag monoclonal antibody</dc:title>
  <dc:creator>Administrator</dc:creator>
  <cp:lastModifiedBy>Microsoft</cp:lastModifiedBy>
  <cp:revision>1</cp:revision>
  <cp:lastPrinted>2014-07-01T05:16:00Z</cp:lastPrinted>
  <dcterms:created xsi:type="dcterms:W3CDTF">2014-01-09T06:27:00Z</dcterms:created>
  <dcterms:modified xsi:type="dcterms:W3CDTF">2014-07-01T06:24:00Z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