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3" w:rsidRPr="0006222D" w:rsidRDefault="005A6F3E" w:rsidP="0006222D">
      <w:pPr>
        <w:spacing w:line="360" w:lineRule="exact"/>
        <w:rPr>
          <w:rFonts w:ascii="Arial" w:hAnsi="Arial" w:cs="Arial"/>
          <w:b/>
          <w:sz w:val="24"/>
          <w:szCs w:val="24"/>
        </w:rPr>
      </w:pPr>
      <w:r w:rsidRPr="0006222D">
        <w:rPr>
          <w:rFonts w:ascii="Arial" w:hAnsi="Arial" w:cs="Arial"/>
          <w:b/>
          <w:sz w:val="24"/>
          <w:szCs w:val="24"/>
        </w:rPr>
        <w:t>Rabbit anti-</w:t>
      </w:r>
      <w:r w:rsidRPr="0006222D">
        <w:rPr>
          <w:rFonts w:ascii="Arial" w:hAnsi="Arial" w:cs="Arial" w:hint="eastAsia"/>
          <w:b/>
          <w:sz w:val="24"/>
          <w:szCs w:val="24"/>
        </w:rPr>
        <w:t>human Beta-2-microglobulin polyclonal Antibody</w:t>
      </w:r>
    </w:p>
    <w:p w:rsidR="000201C3" w:rsidRPr="0006222D" w:rsidRDefault="005A6F3E" w:rsidP="0006222D">
      <w:pPr>
        <w:spacing w:line="320" w:lineRule="exact"/>
        <w:rPr>
          <w:rFonts w:ascii="Arial" w:hAnsi="Arial" w:cs="Arial"/>
          <w:b/>
          <w:bCs/>
          <w:kern w:val="0"/>
        </w:rPr>
      </w:pPr>
      <w:r w:rsidRPr="0006222D">
        <w:rPr>
          <w:rFonts w:ascii="Arial" w:hAnsi="Arial" w:cs="Arial"/>
          <w:b/>
          <w:bCs/>
          <w:kern w:val="0"/>
        </w:rPr>
        <w:t>Catalog Number:</w:t>
      </w:r>
      <w:r w:rsidRPr="0006222D">
        <w:rPr>
          <w:rFonts w:ascii="Arial" w:hAnsi="Arial" w:cs="Arial"/>
        </w:rPr>
        <w:t xml:space="preserve"> </w:t>
      </w:r>
      <w:bookmarkStart w:id="0" w:name="OLE_LINK1"/>
      <w:r w:rsidRPr="0006222D">
        <w:rPr>
          <w:rFonts w:ascii="Arial" w:hAnsi="Arial" w:cs="Arial"/>
          <w:b/>
          <w:bCs/>
          <w:kern w:val="0"/>
        </w:rPr>
        <w:t>CSB-PA</w:t>
      </w:r>
      <w:r w:rsidRPr="0006222D">
        <w:rPr>
          <w:rFonts w:ascii="Arial" w:hAnsi="Arial" w:cs="Arial" w:hint="eastAsia"/>
          <w:b/>
          <w:bCs/>
          <w:kern w:val="0"/>
        </w:rPr>
        <w:t>002486YA</w:t>
      </w:r>
      <w:bookmarkEnd w:id="0"/>
      <w:r w:rsidRPr="0006222D">
        <w:rPr>
          <w:rFonts w:ascii="Arial" w:hAnsi="Arial" w:cs="Arial" w:hint="eastAsia"/>
          <w:b/>
          <w:bCs/>
          <w:kern w:val="0"/>
        </w:rPr>
        <w:t>01HU</w:t>
      </w:r>
    </w:p>
    <w:tbl>
      <w:tblPr>
        <w:tblW w:w="112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965"/>
      </w:tblGrid>
      <w:tr w:rsidR="000201C3" w:rsidRPr="0006222D" w:rsidTr="0006222D">
        <w:trPr>
          <w:trHeight w:val="1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Synonym Names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B2M,CDABP0092, HDCMA22P</w:t>
            </w:r>
          </w:p>
        </w:tc>
      </w:tr>
      <w:tr w:rsidR="000201C3" w:rsidRPr="0006222D" w:rsidTr="0006222D">
        <w:trPr>
          <w:trHeight w:val="62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Product type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  <w:t>Primary antibodies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  <w:t xml:space="preserve">Rabbit polyclonal to </w:t>
            </w:r>
            <w:r w:rsidRPr="0006222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B2M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06222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Clonality</w:t>
            </w:r>
            <w:proofErr w:type="spellEnd"/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  <w:t>Polyclonal</w:t>
            </w:r>
            <w:bookmarkStart w:id="1" w:name="_GoBack"/>
            <w:bookmarkEnd w:id="1"/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06222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Isotype</w:t>
            </w:r>
            <w:proofErr w:type="spellEnd"/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IgG</w:t>
            </w:r>
          </w:p>
        </w:tc>
      </w:tr>
      <w:tr w:rsidR="000201C3" w:rsidRPr="0006222D" w:rsidTr="0006222D">
        <w:trPr>
          <w:trHeight w:val="319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Reacts with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Human</w:t>
            </w:r>
            <w:proofErr w:type="gramStart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,Mouse</w:t>
            </w:r>
            <w:proofErr w:type="gramEnd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;Other</w:t>
            </w:r>
            <w:proofErr w:type="spellEnd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 species are not tested. Please decide the specificity by homology.</w:t>
            </w:r>
          </w:p>
        </w:tc>
      </w:tr>
      <w:tr w:rsidR="000201C3" w:rsidRPr="0006222D" w:rsidTr="0006222D">
        <w:trPr>
          <w:trHeight w:val="118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Conjugate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>non</w:t>
            </w: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-conjugated</w:t>
            </w:r>
          </w:p>
        </w:tc>
      </w:tr>
      <w:tr w:rsidR="000201C3" w:rsidRPr="0006222D" w:rsidTr="0006222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Purity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Caprylic</w:t>
            </w:r>
            <w:proofErr w:type="spellEnd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 Acid Ammonium Sulfate Precipitation purified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Storage buffer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Preservative: 0.03% </w:t>
            </w:r>
            <w:proofErr w:type="spellStart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Proclin</w:t>
            </w:r>
            <w:proofErr w:type="spellEnd"/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 300</w:t>
            </w:r>
          </w:p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Constituents: 50% Glycerol, 20mM </w:t>
            </w:r>
            <w:bookmarkStart w:id="2" w:name="OLE_LINK2"/>
            <w:r w:rsidRPr="0006222D">
              <w:rPr>
                <w:rFonts w:ascii="Arial" w:hAnsi="Arial" w:cs="Arial"/>
                <w:color w:val="333333"/>
                <w:sz w:val="18"/>
                <w:szCs w:val="18"/>
              </w:rPr>
              <w:t>NaHCO3</w:t>
            </w:r>
            <w:bookmarkEnd w:id="2"/>
            <w:r w:rsidRPr="0006222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PH 7.4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Storage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>Shipped at 4°C Upon delivery aliquot and store at -20°C or -80°C. Avoid repeated freeze.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Form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 xml:space="preserve">Liquid 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Raised in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before="100" w:beforeAutospacing="1" w:after="100" w:afterAutospacing="1" w:line="300" w:lineRule="exact"/>
              <w:rPr>
                <w:rFonts w:ascii="Arial" w:hAnsi="Arial" w:cs="Arial"/>
                <w:color w:val="262626"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kern w:val="0"/>
                <w:sz w:val="18"/>
                <w:szCs w:val="18"/>
              </w:rPr>
              <w:t>Rabbit</w:t>
            </w:r>
          </w:p>
        </w:tc>
      </w:tr>
      <w:tr w:rsidR="000201C3" w:rsidRPr="0006222D" w:rsidTr="0006222D">
        <w:trPr>
          <w:trHeight w:val="512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Tested applications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bookmarkStart w:id="3" w:name="OLE_LINK3"/>
            <w:bookmarkStart w:id="4" w:name="OLE_LINK4"/>
            <w:r w:rsidRPr="0006222D">
              <w:rPr>
                <w:rStyle w:val="fullname"/>
                <w:rFonts w:ascii="Arial" w:hAnsi="Arial" w:cs="Arial"/>
                <w:color w:val="000000"/>
                <w:sz w:val="18"/>
                <w:szCs w:val="18"/>
              </w:rPr>
              <w:t>ELISA</w:t>
            </w:r>
            <w:r w:rsidRPr="0006222D">
              <w:rPr>
                <w:rFonts w:ascii="Arial" w:hAnsi="Arial" w:cs="Arial"/>
                <w:sz w:val="18"/>
                <w:szCs w:val="18"/>
              </w:rPr>
              <w:t>: Use at an assay dependent dilution.</w:t>
            </w:r>
          </w:p>
          <w:bookmarkEnd w:id="3"/>
          <w:bookmarkEnd w:id="4"/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22D">
              <w:rPr>
                <w:rStyle w:val="fullname"/>
                <w:rFonts w:ascii="Arial" w:hAnsi="Arial" w:cs="Arial"/>
                <w:color w:val="000000"/>
                <w:sz w:val="18"/>
                <w:szCs w:val="18"/>
              </w:rPr>
              <w:t>WB: 1:500-1:5000</w:t>
            </w:r>
            <w:r w:rsidRPr="0006222D">
              <w:rPr>
                <w:rFonts w:ascii="Arial" w:hAnsi="Arial" w:cs="Arial"/>
                <w:sz w:val="18"/>
                <w:szCs w:val="18"/>
              </w:rPr>
              <w:t xml:space="preserve">                                   (Recommender dilutions)</w:t>
            </w:r>
            <w:r w:rsidRPr="0006222D">
              <w:rPr>
                <w:rStyle w:val="fullname"/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Positive WB detected in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hd w:val="clear" w:color="auto" w:fill="FFFFFF"/>
              <w:spacing w:line="30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A431 whole cell lysate,</w:t>
            </w:r>
            <w:r w:rsidR="009F6655"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mouse lungs tissue</w:t>
            </w:r>
          </w:p>
        </w:tc>
      </w:tr>
      <w:tr w:rsidR="000201C3" w:rsidRPr="0006222D" w:rsidTr="0006222D">
        <w:trPr>
          <w:trHeight w:val="512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01C3" w:rsidRPr="0006222D" w:rsidRDefault="000201C3">
            <w:pPr>
              <w:spacing w:line="36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1C3" w:rsidRPr="0006222D" w:rsidRDefault="005A6F3E">
            <w:pPr>
              <w:spacing w:line="36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sz w:val="18"/>
                <w:szCs w:val="18"/>
              </w:rPr>
              <w:t>Western blot</w:t>
            </w:r>
          </w:p>
          <w:p w:rsidR="000201C3" w:rsidRPr="0006222D" w:rsidRDefault="00430809">
            <w:pPr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begin"/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instrText xml:space="preserve"> </w:instrText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instrText>INCLUDEPICTURE  "C:\\Documents and Settings\\Application Data\\Tencent\\Users\\1436008204\\QQ\\WinTe</w:instrText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instrText>mp\\RichOle\\191QG@GHBWG93VXIQ5~7$GK.jpg" \* MERGEFORMATINET</w:instrText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instrText xml:space="preserve"> </w:instrText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separate"/>
            </w:r>
            <w:r w:rsidR="0006222D"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25" o:spid="_x0000_i1025" type="#_x0000_t75" style="width:94pt;height:107pt">
                  <v:imagedata r:id="rId8" r:href="rId9"/>
                </v:shape>
              </w:pict>
            </w:r>
            <w:r w:rsidRPr="0006222D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end"/>
            </w:r>
          </w:p>
          <w:p w:rsidR="000201C3" w:rsidRPr="0006222D" w:rsidRDefault="005A6F3E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All lanes:Beta-2-microglobulin antibody at 2ug/ml</w:t>
            </w:r>
          </w:p>
          <w:p w:rsidR="000201C3" w:rsidRPr="0006222D" w:rsidRDefault="005A6F3E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Lane 1: A431 whole cell lysate</w:t>
            </w: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br/>
              <w:t>Lane 2 :mouse lungs tissue</w:t>
            </w:r>
          </w:p>
          <w:p w:rsidR="000201C3" w:rsidRPr="0006222D" w:rsidRDefault="005A6F3E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Secondary</w:t>
            </w:r>
          </w:p>
          <w:p w:rsidR="000201C3" w:rsidRPr="0006222D" w:rsidRDefault="005A6F3E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Goat polyclonal to Rabbit IgG at 1/10000 dilution</w:t>
            </w:r>
          </w:p>
          <w:p w:rsidR="000201C3" w:rsidRPr="0006222D" w:rsidRDefault="005A6F3E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Predicted band size:12KDa</w:t>
            </w:r>
          </w:p>
          <w:p w:rsidR="000201C3" w:rsidRPr="0006222D" w:rsidRDefault="005A6F3E" w:rsidP="0006222D">
            <w:pPr>
              <w:shd w:val="clear" w:color="auto" w:fill="FFFFFF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Observed band size:12KDa</w:t>
            </w:r>
          </w:p>
        </w:tc>
      </w:tr>
      <w:tr w:rsidR="000201C3" w:rsidRPr="0006222D" w:rsidTr="0006222D">
        <w:trPr>
          <w:trHeight w:val="512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Function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06222D">
              <w:rPr>
                <w:rFonts w:ascii="Arial" w:eastAsia="宋体" w:hAnsi="Arial" w:cs="Arial"/>
                <w:sz w:val="18"/>
                <w:szCs w:val="18"/>
              </w:rPr>
              <w:t>Component of the class I major histocompatibility complex (MHC). Involved in the presentation of peptide antigens to the immune system.</w:t>
            </w:r>
          </w:p>
        </w:tc>
      </w:tr>
      <w:tr w:rsidR="000201C3" w:rsidRPr="0006222D" w:rsidTr="0006222D"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6222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References</w:t>
            </w:r>
          </w:p>
        </w:tc>
        <w:tc>
          <w:tcPr>
            <w:tcW w:w="8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 xml:space="preserve">[1] "Familial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hypercatabolic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hypoproteinemia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caused by deficiency of the neonatal Fc receptor,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FcRn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>, due to a mutant beta2-microglobulin gene."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Wani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M.A., Haynes L.D., Kim J., Bronson C.L.,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Chaudhury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C.,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Mohanty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Waldmann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T.A., Robinson J.M., Anderson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C.L.Proc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>. Natl. Acad. Sci. U.S.A. 103:5084-5089(2006).</w:t>
            </w:r>
          </w:p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 xml:space="preserve">[2] "Human beta-2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microglobulin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W60V mutant structure: Implications for stability and amyloid aggregation."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Ricagno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S., Raimondi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Giorgetti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Bellotti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V.,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Bolognesi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M.Biochem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Biophys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. Res.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Commun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>. 380:543-547(2009).</w:t>
            </w:r>
          </w:p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 xml:space="preserve">[3] "The controlling roles of Trp60 and Trp95 in beta2-microglobulin function, folding and amyloid aggregation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properties."Esposito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G.,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Ricagno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Corazza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A.,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Rennella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E.,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Guemral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D.,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Mimmi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M.C.,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Betto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E.,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Pucillo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C.E.,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Fogolari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F.,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Viglino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P., Raimondi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Giorgetti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S.,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Bolognesi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B.,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Merlini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G.,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Stoppini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Bolognesi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Pr="0006222D">
              <w:rPr>
                <w:rFonts w:ascii="Arial" w:hAnsi="Arial" w:cs="Arial"/>
                <w:sz w:val="18"/>
                <w:szCs w:val="18"/>
              </w:rPr>
              <w:t>Bellotti</w:t>
            </w:r>
            <w:proofErr w:type="spellEnd"/>
            <w:r w:rsidRPr="0006222D">
              <w:rPr>
                <w:rFonts w:ascii="Arial" w:hAnsi="Arial" w:cs="Arial"/>
                <w:sz w:val="18"/>
                <w:szCs w:val="18"/>
              </w:rPr>
              <w:t xml:space="preserve"> V.</w:t>
            </w:r>
          </w:p>
          <w:p w:rsidR="000201C3" w:rsidRPr="0006222D" w:rsidRDefault="005A6F3E" w:rsidP="000622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6222D">
              <w:rPr>
                <w:rFonts w:ascii="Arial" w:hAnsi="Arial" w:cs="Arial"/>
                <w:sz w:val="18"/>
                <w:szCs w:val="18"/>
              </w:rPr>
              <w:t>J. Mol. Biol. 378:887-897(2008).</w:t>
            </w:r>
          </w:p>
        </w:tc>
      </w:tr>
    </w:tbl>
    <w:p w:rsidR="000201C3" w:rsidRDefault="000201C3"/>
    <w:sectPr w:rsidR="000201C3">
      <w:headerReference w:type="default" r:id="rId10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09" w:rsidRDefault="00430809">
      <w:r>
        <w:separator/>
      </w:r>
    </w:p>
  </w:endnote>
  <w:endnote w:type="continuationSeparator" w:id="0">
    <w:p w:rsidR="00430809" w:rsidRDefault="004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09" w:rsidRDefault="00430809">
      <w:r>
        <w:separator/>
      </w:r>
    </w:p>
  </w:footnote>
  <w:footnote w:type="continuationSeparator" w:id="0">
    <w:p w:rsidR="00430809" w:rsidRDefault="0043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C3" w:rsidRDefault="00430809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28.45pt;margin-top:-54.55pt;width:595.5pt;height:842.25pt;z-index:-1">
          <v:imagedata r:id="rId1" o:title=""/>
        </v:shape>
      </w:pict>
    </w:r>
  </w:p>
  <w:p w:rsidR="000201C3" w:rsidRDefault="000201C3">
    <w:pPr>
      <w:pStyle w:val="a5"/>
      <w:pBdr>
        <w:bottom w:val="none" w:sz="0" w:space="0" w:color="auto"/>
      </w:pBdr>
    </w:pPr>
  </w:p>
  <w:p w:rsidR="000201C3" w:rsidRDefault="000201C3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C3"/>
    <w:rsid w:val="000201C3"/>
    <w:rsid w:val="0006222D"/>
    <w:rsid w:val="00430809"/>
    <w:rsid w:val="005A6F3E"/>
    <w:rsid w:val="009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Narrow" w:eastAsia="方正姚体" w:hAnsi="Arial Narrow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uiPriority w:val="22"/>
    <w:qFormat/>
    <w:locked/>
    <w:rPr>
      <w:b/>
      <w:bCs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full">
    <w:name w:val="full"/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Application%20Data/Tencent/Users/1436008204/QQ/WinTemp/RichOle/191QG@GHBWG93VXIQ5~7$GK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anti-human KIAA1199 polyclonal Antibody</dc:title>
  <dc:creator>Administrator</dc:creator>
  <cp:lastModifiedBy>Microsoft</cp:lastModifiedBy>
  <cp:revision>2</cp:revision>
  <cp:lastPrinted>2014-08-12T02:07:00Z</cp:lastPrinted>
  <dcterms:created xsi:type="dcterms:W3CDTF">2014-01-09T06:27:00Z</dcterms:created>
  <dcterms:modified xsi:type="dcterms:W3CDTF">2014-08-12T02:10:00Z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