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18" w:rsidRDefault="00CF4A8A">
      <w:pPr>
        <w:spacing w:line="440" w:lineRule="exac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Rabbit anti-huma</w:t>
      </w:r>
      <w:r>
        <w:rPr>
          <w:rFonts w:ascii="Arial" w:hAnsi="Arial" w:cs="Arial" w:hint="eastAsia"/>
          <w:b/>
          <w:sz w:val="28"/>
          <w:szCs w:val="28"/>
        </w:rPr>
        <w:t xml:space="preserve">n </w:t>
      </w:r>
      <w:proofErr w:type="spellStart"/>
      <w:r>
        <w:rPr>
          <w:rFonts w:ascii="Arial" w:hAnsi="Arial" w:cs="Arial" w:hint="eastAsia"/>
          <w:b/>
          <w:sz w:val="28"/>
          <w:szCs w:val="28"/>
        </w:rPr>
        <w:t>Annexin</w:t>
      </w:r>
      <w:proofErr w:type="spellEnd"/>
      <w:r>
        <w:rPr>
          <w:rFonts w:ascii="Arial" w:hAnsi="Arial" w:cs="Arial" w:hint="eastAsia"/>
          <w:b/>
          <w:sz w:val="28"/>
          <w:szCs w:val="28"/>
        </w:rPr>
        <w:t xml:space="preserve"> A2 polyclonal Antibody,</w:t>
      </w:r>
      <w:r w:rsidR="007D06C9"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Biotin conjugated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0C0218" w:rsidRDefault="00CF4A8A" w:rsidP="007D06C9">
      <w:pPr>
        <w:spacing w:beforeLines="50" w:before="156" w:afterLines="50" w:after="156" w:line="160" w:lineRule="exact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/>
          <w:b/>
          <w:bCs/>
          <w:kern w:val="0"/>
          <w:sz w:val="24"/>
        </w:rPr>
        <w:t>Catalog Number: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kern w:val="0"/>
          <w:sz w:val="24"/>
        </w:rPr>
        <w:t>CSB-PA0</w:t>
      </w:r>
      <w:r>
        <w:rPr>
          <w:rFonts w:ascii="Arial" w:hAnsi="Arial" w:cs="Arial" w:hint="eastAsia"/>
          <w:b/>
          <w:bCs/>
          <w:kern w:val="0"/>
          <w:sz w:val="24"/>
        </w:rPr>
        <w:t>1064D</w:t>
      </w:r>
      <w:r>
        <w:rPr>
          <w:rFonts w:ascii="Arial" w:hAnsi="Arial" w:cs="Arial"/>
          <w:b/>
          <w:bCs/>
          <w:kern w:val="0"/>
          <w:sz w:val="24"/>
        </w:rPr>
        <w:t>0Rb</w:t>
      </w:r>
    </w:p>
    <w:tbl>
      <w:tblPr>
        <w:tblpPr w:leftFromText="180" w:rightFromText="180" w:vertAnchor="text" w:tblpX="40" w:tblpY="1"/>
        <w:tblOverlap w:val="never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8505"/>
      </w:tblGrid>
      <w:tr w:rsidR="000C0218" w:rsidTr="00FE59D0">
        <w:trPr>
          <w:trHeight w:val="46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Synonym Names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Annexin</w:t>
            </w:r>
            <w:proofErr w:type="spellEnd"/>
            <w:r>
              <w:rPr>
                <w:rFonts w:ascii="Arial" w:hAnsi="Arial" w:cs="Arial" w:hint="eastAsia"/>
              </w:rPr>
              <w:t xml:space="preserve"> II,Annexin-2,Calpactin I heavy chain,Calpactin-1 heavy chain,Chromobindin-8,Lipocortin </w:t>
            </w:r>
            <w:proofErr w:type="spellStart"/>
            <w:r>
              <w:rPr>
                <w:rFonts w:ascii="Arial" w:hAnsi="Arial" w:cs="Arial" w:hint="eastAsia"/>
              </w:rPr>
              <w:t>II,Placental</w:t>
            </w:r>
            <w:proofErr w:type="spellEnd"/>
            <w:r>
              <w:rPr>
                <w:rFonts w:ascii="Arial" w:hAnsi="Arial" w:cs="Arial" w:hint="eastAsia"/>
              </w:rPr>
              <w:t xml:space="preserve"> anticoagulant protein IV,PAP-IV,ANXA2,ANX2, ANX2L4, CAL1H, LPC2D</w:t>
            </w:r>
          </w:p>
        </w:tc>
      </w:tr>
      <w:tr w:rsidR="000C0218" w:rsidTr="00FE59D0"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Product type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color w:val="262626"/>
                <w:kern w:val="0"/>
              </w:rPr>
              <w:t>Primary antibodies</w:t>
            </w:r>
          </w:p>
        </w:tc>
      </w:tr>
      <w:tr w:rsidR="000C0218" w:rsidTr="00FE59D0"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Description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</w:pPr>
            <w:r>
              <w:rPr>
                <w:rFonts w:ascii="Arial" w:hAnsi="Arial" w:cs="Arial"/>
                <w:color w:val="262626"/>
                <w:kern w:val="0"/>
              </w:rPr>
              <w:t>Rabbit polyclonal to</w:t>
            </w:r>
            <w:r>
              <w:rPr>
                <w:rFonts w:ascii="Arial" w:hAnsi="Arial" w:cs="Arial" w:hint="eastAsia"/>
                <w:color w:val="262626"/>
                <w:kern w:val="0"/>
              </w:rPr>
              <w:t xml:space="preserve"> </w:t>
            </w:r>
            <w:r>
              <w:rPr>
                <w:rFonts w:ascii="Arial" w:hAnsi="Arial" w:cs="Arial" w:hint="eastAsia"/>
              </w:rPr>
              <w:t>ANXA2</w:t>
            </w:r>
          </w:p>
        </w:tc>
      </w:tr>
      <w:tr w:rsidR="000C0218" w:rsidTr="00FE59D0"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</w:rPr>
              <w:t>Clonality</w:t>
            </w:r>
            <w:proofErr w:type="spellEnd"/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color w:val="262626"/>
                <w:kern w:val="0"/>
              </w:rPr>
              <w:t>Polyclonal</w:t>
            </w:r>
          </w:p>
        </w:tc>
      </w:tr>
      <w:tr w:rsidR="000C0218" w:rsidTr="00FE59D0"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</w:rPr>
              <w:t>Isotype</w:t>
            </w:r>
            <w:proofErr w:type="spellEnd"/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IgG</w:t>
            </w:r>
            <w:proofErr w:type="spellEnd"/>
          </w:p>
        </w:tc>
      </w:tr>
      <w:tr w:rsidR="000C0218" w:rsidTr="00FE59D0">
        <w:trPr>
          <w:trHeight w:val="319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Reacts with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hAnsi="Arial" w:cs="Arial" w:hint="eastAsia"/>
                <w:kern w:val="0"/>
              </w:rPr>
              <w:t>H</w:t>
            </w:r>
            <w:r>
              <w:rPr>
                <w:rFonts w:ascii="Arial" w:hAnsi="Arial" w:cs="Arial"/>
                <w:kern w:val="0"/>
              </w:rPr>
              <w:t>uman</w:t>
            </w:r>
            <w:proofErr w:type="gramStart"/>
            <w:r>
              <w:rPr>
                <w:rFonts w:ascii="Arial" w:hAnsi="Arial" w:cs="Arial" w:hint="eastAsia"/>
                <w:kern w:val="0"/>
              </w:rPr>
              <w:t>;</w:t>
            </w:r>
            <w:r>
              <w:rPr>
                <w:rFonts w:ascii="Arial" w:hAnsi="Arial" w:cs="Arial"/>
                <w:kern w:val="0"/>
              </w:rPr>
              <w:t>Other</w:t>
            </w:r>
            <w:proofErr w:type="spellEnd"/>
            <w:proofErr w:type="gramEnd"/>
            <w:r>
              <w:rPr>
                <w:rFonts w:ascii="Arial" w:hAnsi="Arial" w:cs="Arial"/>
                <w:kern w:val="0"/>
              </w:rPr>
              <w:t xml:space="preserve"> species are not tested. Please decide the specificity by homology.</w:t>
            </w:r>
          </w:p>
        </w:tc>
      </w:tr>
      <w:tr w:rsidR="000C0218" w:rsidTr="00FE59D0">
        <w:trPr>
          <w:trHeight w:val="118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Conjugate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Biotin</w:t>
            </w:r>
            <w:r>
              <w:rPr>
                <w:rFonts w:ascii="Arial" w:hAnsi="Arial" w:cs="Arial"/>
                <w:kern w:val="0"/>
              </w:rPr>
              <w:t>-conjugated</w:t>
            </w:r>
          </w:p>
        </w:tc>
      </w:tr>
      <w:tr w:rsidR="000C0218" w:rsidTr="00FE59D0">
        <w:trPr>
          <w:trHeight w:val="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Purity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Caprylic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Acid Ammonium Sulfate Precipitation purified</w:t>
            </w:r>
          </w:p>
        </w:tc>
      </w:tr>
      <w:tr w:rsidR="000C0218" w:rsidTr="00FE59D0"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Storage buffer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Preservative: 0.03% </w:t>
            </w:r>
            <w:proofErr w:type="spellStart"/>
            <w:r>
              <w:rPr>
                <w:rFonts w:ascii="Arial" w:hAnsi="Arial" w:cs="Arial"/>
                <w:kern w:val="0"/>
              </w:rPr>
              <w:t>Proclin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300</w:t>
            </w:r>
          </w:p>
          <w:p w:rsidR="000C0218" w:rsidRDefault="00CF4A8A" w:rsidP="00FE59D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</w:rPr>
              <w:t>Constituents: 50% Glycerol, 0.01M PBS, PH 7.4</w:t>
            </w:r>
          </w:p>
        </w:tc>
      </w:tr>
      <w:tr w:rsidR="000C0218" w:rsidTr="00FE59D0"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Storage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</w:rPr>
              <w:t>Shipped at 4°C Upon delivery aliquot and store at -20°C or -80°C. Avoid repeated freeze.</w:t>
            </w:r>
          </w:p>
        </w:tc>
      </w:tr>
      <w:tr w:rsidR="000C0218" w:rsidTr="00FE59D0"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Form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kern w:val="0"/>
              </w:rPr>
              <w:t xml:space="preserve">Liquid </w:t>
            </w:r>
          </w:p>
        </w:tc>
      </w:tr>
      <w:tr w:rsidR="000C0218" w:rsidTr="00FE59D0"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Raised in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before="100" w:beforeAutospacing="1" w:after="100" w:afterAutospacing="1" w:line="360" w:lineRule="exact"/>
              <w:rPr>
                <w:rFonts w:ascii="Arial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kern w:val="0"/>
              </w:rPr>
              <w:t>Rabbit</w:t>
            </w:r>
          </w:p>
        </w:tc>
      </w:tr>
      <w:tr w:rsidR="000C0218" w:rsidTr="00FE59D0"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Tested applications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</w:rPr>
            </w:pPr>
            <w:bookmarkStart w:id="1" w:name="OLE_LINK3"/>
            <w:bookmarkStart w:id="2" w:name="OLE_LINK4"/>
            <w:proofErr w:type="spellStart"/>
            <w:r>
              <w:rPr>
                <w:rStyle w:val="fullname"/>
                <w:rFonts w:ascii="Arial" w:hAnsi="Arial" w:cs="Arial"/>
                <w:color w:val="000000"/>
              </w:rPr>
              <w:t>ELISA</w:t>
            </w:r>
            <w:bookmarkEnd w:id="1"/>
            <w:bookmarkEnd w:id="2"/>
            <w:proofErr w:type="gramStart"/>
            <w:r>
              <w:rPr>
                <w:rFonts w:ascii="Arial" w:hAnsi="Arial" w:cs="Arial" w:hint="eastAsia"/>
              </w:rPr>
              <w:t>,</w:t>
            </w:r>
            <w:r>
              <w:rPr>
                <w:rStyle w:val="fullname"/>
                <w:rFonts w:ascii="Arial" w:hAnsi="Arial" w:cs="Arial"/>
                <w:color w:val="000000"/>
              </w:rPr>
              <w:t>WB</w:t>
            </w:r>
            <w:proofErr w:type="gramEnd"/>
            <w:r>
              <w:rPr>
                <w:rStyle w:val="fullname"/>
                <w:rFonts w:ascii="Arial" w:hAnsi="Arial" w:cs="Arial" w:hint="eastAsia"/>
                <w:color w:val="000000"/>
              </w:rPr>
              <w:t>;</w:t>
            </w:r>
            <w:r>
              <w:rPr>
                <w:rFonts w:ascii="Arial" w:hAnsi="Arial" w:cs="Arial"/>
              </w:rPr>
              <w:t>Not</w:t>
            </w:r>
            <w:proofErr w:type="spellEnd"/>
            <w:r>
              <w:rPr>
                <w:rFonts w:ascii="Arial" w:hAnsi="Arial" w:cs="Arial"/>
              </w:rPr>
              <w:t xml:space="preserve"> yet tested in other applications.                  </w:t>
            </w:r>
            <w:r>
              <w:rPr>
                <w:rFonts w:ascii="Arial" w:hAnsi="Arial" w:cs="Arial" w:hint="eastAsia"/>
              </w:rPr>
              <w:t xml:space="preserve">         </w:t>
            </w:r>
          </w:p>
        </w:tc>
      </w:tr>
      <w:tr w:rsidR="000C0218" w:rsidTr="00FE59D0">
        <w:trPr>
          <w:trHeight w:val="172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Function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Style w:val="fullname"/>
                <w:rFonts w:ascii="Arial" w:hAnsi="Arial" w:cs="Arial"/>
              </w:rPr>
            </w:pPr>
            <w:r>
              <w:rPr>
                <w:rFonts w:hint="eastAsia"/>
              </w:rPr>
              <w:t>C</w:t>
            </w:r>
            <w:r>
              <w:rPr>
                <w:rFonts w:ascii="Arial" w:hAnsi="Arial" w:cs="Arial"/>
              </w:rPr>
              <w:t>alcium-regulated membrane-binding protein whose affinity for calcium is greatly enhanced by anionic phospholipids. It binds two calcium ions with high affinity. May be involved in heat-stress response.</w:t>
            </w:r>
          </w:p>
        </w:tc>
      </w:tr>
      <w:tr w:rsidR="000C0218" w:rsidTr="00FE59D0">
        <w:trPr>
          <w:trHeight w:val="3022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References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18" w:rsidRDefault="00CF4A8A" w:rsidP="00FE59D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[1]"</w:t>
            </w:r>
            <w:proofErr w:type="spellStart"/>
            <w:r>
              <w:rPr>
                <w:rFonts w:ascii="Arial" w:hAnsi="Arial" w:cs="Arial"/>
              </w:rPr>
              <w:t>Cochlin</w:t>
            </w:r>
            <w:proofErr w:type="spellEnd"/>
            <w:r>
              <w:rPr>
                <w:rFonts w:ascii="Arial" w:hAnsi="Arial" w:cs="Arial"/>
              </w:rPr>
              <w:t xml:space="preserve"> induced TREK-1 co-expression and </w:t>
            </w:r>
            <w:proofErr w:type="spellStart"/>
            <w:r>
              <w:rPr>
                <w:rFonts w:ascii="Arial" w:hAnsi="Arial" w:cs="Arial"/>
              </w:rPr>
              <w:t>annexin</w:t>
            </w:r>
            <w:proofErr w:type="spellEnd"/>
            <w:r>
              <w:rPr>
                <w:rFonts w:ascii="Arial" w:hAnsi="Arial" w:cs="Arial"/>
              </w:rPr>
              <w:t xml:space="preserve"> A2 secretion: role in trabecular meshwork cell elongation and motility."</w:t>
            </w:r>
            <w:proofErr w:type="spellStart"/>
            <w:r>
              <w:rPr>
                <w:rFonts w:ascii="Arial" w:hAnsi="Arial" w:cs="Arial"/>
              </w:rPr>
              <w:t>Goel</w:t>
            </w:r>
            <w:proofErr w:type="spellEnd"/>
            <w:r>
              <w:rPr>
                <w:rFonts w:ascii="Arial" w:hAnsi="Arial" w:cs="Arial"/>
              </w:rPr>
              <w:t xml:space="preserve"> M., Sienkiewicz A.E., </w:t>
            </w:r>
            <w:proofErr w:type="spellStart"/>
            <w:r>
              <w:rPr>
                <w:rFonts w:ascii="Arial" w:hAnsi="Arial" w:cs="Arial"/>
              </w:rPr>
              <w:t>Picciani</w:t>
            </w:r>
            <w:proofErr w:type="spellEnd"/>
            <w:r>
              <w:rPr>
                <w:rFonts w:ascii="Arial" w:hAnsi="Arial" w:cs="Arial"/>
              </w:rPr>
              <w:t xml:space="preserve"> R., Lee R.K., Bhattacharya </w:t>
            </w:r>
            <w:proofErr w:type="spellStart"/>
            <w:r>
              <w:rPr>
                <w:rFonts w:ascii="Arial" w:hAnsi="Arial" w:cs="Arial"/>
              </w:rPr>
              <w:t>S.K.PLoS</w:t>
            </w:r>
            <w:proofErr w:type="spellEnd"/>
            <w:r>
              <w:rPr>
                <w:rFonts w:ascii="Arial" w:hAnsi="Arial" w:cs="Arial"/>
              </w:rPr>
              <w:t xml:space="preserve"> ONE 6:E23070-</w:t>
            </w:r>
            <w:proofErr w:type="gramStart"/>
            <w:r>
              <w:rPr>
                <w:rFonts w:ascii="Arial" w:hAnsi="Arial" w:cs="Arial"/>
              </w:rPr>
              <w:t>E23070(</w:t>
            </w:r>
            <w:proofErr w:type="gramEnd"/>
            <w:r>
              <w:rPr>
                <w:rFonts w:ascii="Arial" w:hAnsi="Arial" w:cs="Arial"/>
              </w:rPr>
              <w:t>2011).</w:t>
            </w:r>
          </w:p>
          <w:p w:rsidR="000C0218" w:rsidRDefault="00CF4A8A" w:rsidP="00FE59D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[2]"Initial characterization of the human central proteome."</w:t>
            </w:r>
            <w:proofErr w:type="spellStart"/>
            <w:r>
              <w:rPr>
                <w:rFonts w:ascii="Arial" w:hAnsi="Arial" w:cs="Arial"/>
              </w:rPr>
              <w:t>Burkard</w:t>
            </w:r>
            <w:proofErr w:type="spellEnd"/>
            <w:r>
              <w:rPr>
                <w:rFonts w:ascii="Arial" w:hAnsi="Arial" w:cs="Arial"/>
              </w:rPr>
              <w:t xml:space="preserve"> T.R., </w:t>
            </w:r>
            <w:proofErr w:type="spellStart"/>
            <w:r>
              <w:rPr>
                <w:rFonts w:ascii="Arial" w:hAnsi="Arial" w:cs="Arial"/>
              </w:rPr>
              <w:t>Planyavsky</w:t>
            </w:r>
            <w:proofErr w:type="spellEnd"/>
            <w:r>
              <w:rPr>
                <w:rFonts w:ascii="Arial" w:hAnsi="Arial" w:cs="Arial"/>
              </w:rPr>
              <w:t xml:space="preserve"> M., </w:t>
            </w:r>
            <w:proofErr w:type="spellStart"/>
            <w:r>
              <w:rPr>
                <w:rFonts w:ascii="Arial" w:hAnsi="Arial" w:cs="Arial"/>
              </w:rPr>
              <w:t>Kaupe</w:t>
            </w:r>
            <w:proofErr w:type="spellEnd"/>
            <w:r>
              <w:rPr>
                <w:rFonts w:ascii="Arial" w:hAnsi="Arial" w:cs="Arial"/>
              </w:rPr>
              <w:t xml:space="preserve"> I., </w:t>
            </w:r>
            <w:proofErr w:type="spellStart"/>
            <w:r>
              <w:rPr>
                <w:rFonts w:ascii="Arial" w:hAnsi="Arial" w:cs="Arial"/>
              </w:rPr>
              <w:t>Breitwieser</w:t>
            </w:r>
            <w:proofErr w:type="spellEnd"/>
            <w:r>
              <w:rPr>
                <w:rFonts w:ascii="Arial" w:hAnsi="Arial" w:cs="Arial"/>
              </w:rPr>
              <w:t xml:space="preserve"> F.P., </w:t>
            </w:r>
            <w:proofErr w:type="spellStart"/>
            <w:r>
              <w:rPr>
                <w:rFonts w:ascii="Arial" w:hAnsi="Arial" w:cs="Arial"/>
              </w:rPr>
              <w:t>Buerckstuemmer</w:t>
            </w:r>
            <w:proofErr w:type="spellEnd"/>
            <w:r>
              <w:rPr>
                <w:rFonts w:ascii="Arial" w:hAnsi="Arial" w:cs="Arial"/>
              </w:rPr>
              <w:t xml:space="preserve"> T., Bennett K.L., </w:t>
            </w:r>
            <w:proofErr w:type="spellStart"/>
            <w:r>
              <w:rPr>
                <w:rFonts w:ascii="Arial" w:hAnsi="Arial" w:cs="Arial"/>
              </w:rPr>
              <w:t>Superti-Furga</w:t>
            </w:r>
            <w:proofErr w:type="spellEnd"/>
            <w:r>
              <w:rPr>
                <w:rFonts w:ascii="Arial" w:hAnsi="Arial" w:cs="Arial"/>
              </w:rPr>
              <w:t xml:space="preserve"> G., </w:t>
            </w:r>
            <w:proofErr w:type="spellStart"/>
            <w:r>
              <w:rPr>
                <w:rFonts w:ascii="Arial" w:hAnsi="Arial" w:cs="Arial"/>
              </w:rPr>
              <w:t>Colinge</w:t>
            </w:r>
            <w:proofErr w:type="spellEnd"/>
            <w:r>
              <w:rPr>
                <w:rFonts w:ascii="Arial" w:hAnsi="Arial" w:cs="Arial"/>
              </w:rPr>
              <w:t xml:space="preserve"> J.BMC Syst. Biol. 5:17-17(2011).</w:t>
            </w:r>
          </w:p>
          <w:p w:rsidR="000C0218" w:rsidRDefault="00CF4A8A" w:rsidP="00FE59D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[3]"Proteomic and </w:t>
            </w:r>
            <w:proofErr w:type="spellStart"/>
            <w:r>
              <w:rPr>
                <w:rFonts w:ascii="Arial" w:hAnsi="Arial" w:cs="Arial"/>
              </w:rPr>
              <w:t>bioinformatic</w:t>
            </w:r>
            <w:proofErr w:type="spellEnd"/>
            <w:r>
              <w:rPr>
                <w:rFonts w:ascii="Arial" w:hAnsi="Arial" w:cs="Arial"/>
              </w:rPr>
              <w:t xml:space="preserve"> characterization of the biogenesis and function of </w:t>
            </w:r>
            <w:proofErr w:type="spellStart"/>
            <w:r>
              <w:rPr>
                <w:rFonts w:ascii="Arial" w:hAnsi="Arial" w:cs="Arial"/>
              </w:rPr>
              <w:t>melanosomes</w:t>
            </w:r>
            <w:proofErr w:type="spellEnd"/>
            <w:r>
              <w:rPr>
                <w:rFonts w:ascii="Arial" w:hAnsi="Arial" w:cs="Arial"/>
              </w:rPr>
              <w:t xml:space="preserve">."Chi A., Valencia J.C., Hu Z.-Z., </w:t>
            </w:r>
            <w:proofErr w:type="spellStart"/>
            <w:r>
              <w:rPr>
                <w:rFonts w:ascii="Arial" w:hAnsi="Arial" w:cs="Arial"/>
              </w:rPr>
              <w:t>Watabe</w:t>
            </w:r>
            <w:proofErr w:type="spellEnd"/>
            <w:r>
              <w:rPr>
                <w:rFonts w:ascii="Arial" w:hAnsi="Arial" w:cs="Arial"/>
              </w:rPr>
              <w:t xml:space="preserve"> H., Yamaguchi H., </w:t>
            </w:r>
            <w:proofErr w:type="spellStart"/>
            <w:r>
              <w:rPr>
                <w:rFonts w:ascii="Arial" w:hAnsi="Arial" w:cs="Arial"/>
              </w:rPr>
              <w:t>Mangini</w:t>
            </w:r>
            <w:proofErr w:type="spellEnd"/>
            <w:r>
              <w:rPr>
                <w:rFonts w:ascii="Arial" w:hAnsi="Arial" w:cs="Arial"/>
              </w:rPr>
              <w:t xml:space="preserve"> N.J., Huang H., Canfield V.A., Cheng K.C., Yang F., Abe R., </w:t>
            </w:r>
            <w:proofErr w:type="spellStart"/>
            <w:r>
              <w:rPr>
                <w:rFonts w:ascii="Arial" w:hAnsi="Arial" w:cs="Arial"/>
              </w:rPr>
              <w:t>Yamagishi</w:t>
            </w:r>
            <w:proofErr w:type="spellEnd"/>
            <w:r>
              <w:rPr>
                <w:rFonts w:ascii="Arial" w:hAnsi="Arial" w:cs="Arial"/>
              </w:rPr>
              <w:t xml:space="preserve"> S., </w:t>
            </w:r>
            <w:proofErr w:type="spellStart"/>
            <w:r>
              <w:rPr>
                <w:rFonts w:ascii="Arial" w:hAnsi="Arial" w:cs="Arial"/>
              </w:rPr>
              <w:t>Shabanowitz</w:t>
            </w:r>
            <w:proofErr w:type="spellEnd"/>
            <w:r>
              <w:rPr>
                <w:rFonts w:ascii="Arial" w:hAnsi="Arial" w:cs="Arial"/>
              </w:rPr>
              <w:t xml:space="preserve"> J., Hearing V.J., Wu C., </w:t>
            </w:r>
            <w:proofErr w:type="spellStart"/>
            <w:r>
              <w:rPr>
                <w:rFonts w:ascii="Arial" w:hAnsi="Arial" w:cs="Arial"/>
              </w:rPr>
              <w:t>Appella</w:t>
            </w:r>
            <w:proofErr w:type="spellEnd"/>
            <w:r>
              <w:rPr>
                <w:rFonts w:ascii="Arial" w:hAnsi="Arial" w:cs="Arial"/>
              </w:rPr>
              <w:t xml:space="preserve"> E., Hunt D.F.J. Proteome Res. 5:3135-3144(2006)</w:t>
            </w:r>
            <w:r>
              <w:rPr>
                <w:rFonts w:ascii="Arial" w:hAnsi="Arial" w:cs="Arial" w:hint="eastAsia"/>
              </w:rPr>
              <w:t>.</w:t>
            </w:r>
          </w:p>
        </w:tc>
      </w:tr>
    </w:tbl>
    <w:p w:rsidR="000C0218" w:rsidRDefault="000C0218"/>
    <w:sectPr w:rsidR="000C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FB" w:rsidRDefault="001573FB">
      <w:r>
        <w:separator/>
      </w:r>
    </w:p>
  </w:endnote>
  <w:endnote w:type="continuationSeparator" w:id="0">
    <w:p w:rsidR="001573FB" w:rsidRDefault="0015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8" w:rsidRDefault="000C02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8" w:rsidRDefault="000C02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8" w:rsidRDefault="000C02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FB" w:rsidRDefault="001573FB">
      <w:r>
        <w:separator/>
      </w:r>
    </w:p>
  </w:footnote>
  <w:footnote w:type="continuationSeparator" w:id="0">
    <w:p w:rsidR="001573FB" w:rsidRDefault="0015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8" w:rsidRDefault="000C02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8" w:rsidRDefault="001573FB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28.45pt;margin-top:-54.55pt;width:595.5pt;height:842.25pt;z-index:-1">
          <v:imagedata r:id="rId1" o:title=""/>
        </v:shape>
      </w:pict>
    </w:r>
  </w:p>
  <w:p w:rsidR="000C0218" w:rsidRDefault="000C0218">
    <w:pPr>
      <w:pStyle w:val="a5"/>
      <w:pBdr>
        <w:bottom w:val="none" w:sz="0" w:space="0" w:color="auto"/>
      </w:pBdr>
    </w:pPr>
  </w:p>
  <w:p w:rsidR="000C0218" w:rsidRDefault="000C0218">
    <w:pPr>
      <w:pStyle w:val="a5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18" w:rsidRDefault="000C02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218"/>
    <w:rsid w:val="000C0218"/>
    <w:rsid w:val="001573FB"/>
    <w:rsid w:val="007D06C9"/>
    <w:rsid w:val="00A67731"/>
    <w:rsid w:val="00CF4A8A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Arial Narro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7">
    <w:name w:val="Strong"/>
    <w:uiPriority w:val="22"/>
    <w:qFormat/>
    <w:locked/>
    <w:rPr>
      <w:b/>
      <w:bCs/>
    </w:rPr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full">
    <w:name w:val="full"/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anti-human KIAA1199 polyclonal Antibody</dc:title>
  <dc:creator>Administrator</dc:creator>
  <cp:lastModifiedBy>Microsoft</cp:lastModifiedBy>
  <cp:revision>2</cp:revision>
  <cp:lastPrinted>2014-07-29T01:14:00Z</cp:lastPrinted>
  <dcterms:created xsi:type="dcterms:W3CDTF">2014-01-09T06:27:00Z</dcterms:created>
  <dcterms:modified xsi:type="dcterms:W3CDTF">2014-07-29T01:14:00Z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