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1" w:rsidRDefault="00247D34">
      <w:pPr>
        <w:widowControl w:val="0"/>
        <w:spacing w:line="440" w:lineRule="exact"/>
        <w:jc w:val="both"/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/>
          <w:b/>
          <w:sz w:val="28"/>
          <w:szCs w:val="28"/>
        </w:rPr>
        <w:t>Rabbit anti-</w:t>
      </w:r>
      <w:r>
        <w:t xml:space="preserve"> </w:t>
      </w:r>
      <w:r>
        <w:rPr>
          <w:rFonts w:ascii="Arial" w:eastAsia="宋体" w:hAnsi="Arial" w:cs="Arial" w:hint="eastAsia"/>
          <w:b/>
          <w:sz w:val="28"/>
          <w:szCs w:val="28"/>
        </w:rPr>
        <w:t>human Alpha-</w:t>
      </w:r>
      <w:proofErr w:type="spellStart"/>
      <w:r>
        <w:rPr>
          <w:rFonts w:ascii="Arial" w:eastAsia="宋体" w:hAnsi="Arial" w:cs="Arial" w:hint="eastAsia"/>
          <w:b/>
          <w:sz w:val="28"/>
          <w:szCs w:val="28"/>
        </w:rPr>
        <w:t>enolase</w:t>
      </w:r>
      <w:proofErr w:type="spellEnd"/>
      <w:r>
        <w:rPr>
          <w:rFonts w:ascii="Arial" w:eastAsia="宋体" w:hAnsi="Arial" w:cs="Arial" w:hint="eastAsia"/>
          <w:b/>
          <w:sz w:val="28"/>
          <w:szCs w:val="28"/>
        </w:rPr>
        <w:t xml:space="preserve"> polyclonal Antibody</w:t>
      </w:r>
    </w:p>
    <w:p w:rsidR="005F6931" w:rsidRDefault="00247D34" w:rsidP="00801412">
      <w:pPr>
        <w:widowControl w:val="0"/>
        <w:spacing w:beforeLines="50" w:before="156" w:afterLines="50" w:after="156" w:line="160" w:lineRule="exact"/>
        <w:jc w:val="both"/>
        <w:rPr>
          <w:rFonts w:ascii="Arial" w:eastAsia="宋体" w:hAnsi="Arial" w:cs="Arial"/>
          <w:b/>
          <w:bCs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>Catalog Number: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CSB-PA</w:t>
      </w:r>
      <w:r>
        <w:rPr>
          <w:rFonts w:ascii="Arial" w:hAnsi="Arial" w:cs="Arial" w:hint="eastAsia"/>
          <w:b/>
          <w:sz w:val="24"/>
          <w:szCs w:val="24"/>
        </w:rPr>
        <w:t>02395</w:t>
      </w:r>
      <w:r>
        <w:rPr>
          <w:rFonts w:ascii="Arial" w:hAnsi="Arial" w:cs="Arial"/>
          <w:b/>
          <w:sz w:val="24"/>
          <w:szCs w:val="24"/>
        </w:rPr>
        <w:t>A0Rb</w:t>
      </w: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256"/>
      </w:tblGrid>
      <w:tr w:rsidR="005F69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highlight w:val="red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Synonym Names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</w:rPr>
              <w:t>2-phospho-D-glycerate hydro-</w:t>
            </w:r>
            <w:proofErr w:type="spellStart"/>
            <w:r>
              <w:rPr>
                <w:rFonts w:ascii="Arial" w:hAnsi="Arial" w:cs="Arial"/>
              </w:rPr>
              <w:t>lyase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myc</w:t>
            </w:r>
            <w:proofErr w:type="spellEnd"/>
            <w:r>
              <w:rPr>
                <w:rFonts w:ascii="Arial" w:hAnsi="Arial" w:cs="Arial"/>
              </w:rPr>
              <w:t xml:space="preserve"> promoter-binding </w:t>
            </w:r>
            <w:proofErr w:type="spellStart"/>
            <w:r>
              <w:rPr>
                <w:rFonts w:ascii="Arial" w:hAnsi="Arial" w:cs="Arial"/>
              </w:rPr>
              <w:t>protein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Enolase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MBP-1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MPB-1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Non-neural </w:t>
            </w:r>
            <w:proofErr w:type="spellStart"/>
            <w:r>
              <w:rPr>
                <w:rFonts w:ascii="Arial" w:hAnsi="Arial" w:cs="Arial"/>
              </w:rPr>
              <w:t>enolase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Phosphopyruvate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hydratase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Plasminogen</w:t>
            </w:r>
            <w:proofErr w:type="spellEnd"/>
            <w:r>
              <w:rPr>
                <w:rFonts w:ascii="Arial" w:hAnsi="Arial" w:cs="Arial"/>
              </w:rPr>
              <w:t xml:space="preserve">-binding </w:t>
            </w:r>
            <w:r>
              <w:rPr>
                <w:rFonts w:ascii="Arial" w:hAnsi="Arial" w:cs="Arial"/>
              </w:rPr>
              <w:t>protein</w:t>
            </w:r>
            <w:r>
              <w:rPr>
                <w:rFonts w:ascii="Arial" w:hAnsi="Arial" w:cs="Arial"/>
              </w:rPr>
              <w:t>,ENO1</w:t>
            </w:r>
            <w:r>
              <w:rPr>
                <w:rFonts w:ascii="Arial" w:hAnsi="Arial" w:cs="Arial" w:hint="eastAsia"/>
              </w:rPr>
              <w:t>,ENO1L1, MBPB1, MPB1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Product type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/>
                <w:color w:val="262626"/>
                <w:kern w:val="0"/>
              </w:rPr>
              <w:t>Primary antibodies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Description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/>
                <w:color w:val="262626"/>
                <w:kern w:val="0"/>
              </w:rPr>
              <w:t>Rabbit polyclonal to</w:t>
            </w:r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shd w:val="clear" w:color="auto" w:fill="FFFFFF"/>
              </w:rPr>
              <w:t>ENO1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proofErr w:type="spellStart"/>
            <w:r>
              <w:rPr>
                <w:rFonts w:ascii="Arial" w:eastAsia="宋体" w:hAnsi="Arial" w:cs="Arial"/>
                <w:b/>
                <w:bCs/>
                <w:color w:val="262626"/>
              </w:rPr>
              <w:t>Clonality</w:t>
            </w:r>
            <w:proofErr w:type="spellEnd"/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/>
                <w:color w:val="262626"/>
                <w:kern w:val="0"/>
              </w:rPr>
              <w:t>Polyclonal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proofErr w:type="spellStart"/>
            <w:r>
              <w:rPr>
                <w:rFonts w:ascii="Arial" w:eastAsia="宋体" w:hAnsi="Arial" w:cs="Arial"/>
                <w:b/>
                <w:bCs/>
                <w:color w:val="262626"/>
              </w:rPr>
              <w:t>Isotype</w:t>
            </w:r>
            <w:bookmarkStart w:id="0" w:name="_GoBack"/>
            <w:bookmarkEnd w:id="0"/>
            <w:proofErr w:type="spellEnd"/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kern w:val="0"/>
              </w:rPr>
            </w:pPr>
            <w:proofErr w:type="spellStart"/>
            <w:r>
              <w:rPr>
                <w:rFonts w:ascii="Arial" w:eastAsia="宋体" w:hAnsi="Arial" w:cs="Arial"/>
                <w:kern w:val="0"/>
              </w:rPr>
              <w:t>IgG</w:t>
            </w:r>
            <w:proofErr w:type="spellEnd"/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color w:val="262626"/>
              </w:rPr>
              <w:t>Reacts with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line="360" w:lineRule="exact"/>
              <w:rPr>
                <w:rFonts w:ascii="Arial" w:eastAsia="宋体" w:hAnsi="Arial" w:cs="Arial"/>
                <w:color w:val="000000"/>
                <w:kern w:val="0"/>
              </w:rPr>
            </w:pPr>
            <w:r>
              <w:rPr>
                <w:rFonts w:ascii="Arial" w:eastAsia="宋体" w:hAnsi="Arial" w:cs="Arial"/>
                <w:kern w:val="0"/>
              </w:rPr>
              <w:t xml:space="preserve">Human; Other species are not </w:t>
            </w:r>
            <w:proofErr w:type="spellStart"/>
            <w:r>
              <w:rPr>
                <w:rFonts w:ascii="Arial" w:eastAsia="宋体" w:hAnsi="Arial" w:cs="Arial"/>
                <w:kern w:val="0"/>
              </w:rPr>
              <w:t>tested.Please</w:t>
            </w:r>
            <w:proofErr w:type="spellEnd"/>
            <w:r>
              <w:rPr>
                <w:rFonts w:ascii="Arial" w:eastAsia="宋体" w:hAnsi="Arial" w:cs="Arial"/>
                <w:kern w:val="0"/>
              </w:rPr>
              <w:t xml:space="preserve"> decide the specificity by </w:t>
            </w:r>
            <w:proofErr w:type="gramStart"/>
            <w:r>
              <w:rPr>
                <w:rFonts w:ascii="Arial" w:eastAsia="宋体" w:hAnsi="Arial" w:cs="Arial"/>
                <w:kern w:val="0"/>
              </w:rPr>
              <w:t>homology .</w:t>
            </w:r>
            <w:proofErr w:type="gramEnd"/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F6931" w:rsidRDefault="00247D34" w:rsidP="00801412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Conjugate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before="100" w:beforeAutospacing="1" w:after="100" w:afterAutospacing="1" w:line="360" w:lineRule="exact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/>
                <w:kern w:val="0"/>
              </w:rPr>
              <w:t>Non-conjugated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6931" w:rsidRDefault="00247D34" w:rsidP="00801412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Purity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before="100" w:beforeAutospacing="1" w:after="100" w:afterAutospacing="1" w:line="360" w:lineRule="exact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/>
                <w:kern w:val="0"/>
              </w:rPr>
              <w:t xml:space="preserve">&gt;95% by </w:t>
            </w:r>
            <w:proofErr w:type="spellStart"/>
            <w:r>
              <w:rPr>
                <w:rFonts w:ascii="Arial" w:eastAsia="宋体" w:hAnsi="Arial" w:cs="Arial"/>
                <w:kern w:val="0"/>
              </w:rPr>
              <w:t>Caprylic</w:t>
            </w:r>
            <w:proofErr w:type="spellEnd"/>
            <w:r>
              <w:rPr>
                <w:rFonts w:ascii="Arial" w:eastAsia="宋体" w:hAnsi="Arial" w:cs="Arial"/>
                <w:kern w:val="0"/>
              </w:rPr>
              <w:t xml:space="preserve"> Acid Ammonium Sulfate Precipitation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Storage buffer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line="360" w:lineRule="exact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/>
                <w:kern w:val="0"/>
              </w:rPr>
              <w:t xml:space="preserve">Preservative: 0.03% </w:t>
            </w:r>
            <w:proofErr w:type="spellStart"/>
            <w:r>
              <w:rPr>
                <w:rFonts w:ascii="Arial" w:eastAsia="宋体" w:hAnsi="Arial" w:cs="Arial"/>
                <w:kern w:val="0"/>
              </w:rPr>
              <w:t>Proclin</w:t>
            </w:r>
            <w:proofErr w:type="spellEnd"/>
            <w:r>
              <w:rPr>
                <w:rFonts w:ascii="Arial" w:eastAsia="宋体" w:hAnsi="Arial" w:cs="Arial"/>
                <w:kern w:val="0"/>
              </w:rPr>
              <w:t xml:space="preserve"> 300 </w:t>
            </w:r>
          </w:p>
          <w:p w:rsidR="005F6931" w:rsidRDefault="00247D34" w:rsidP="00801412">
            <w:pPr>
              <w:widowControl w:val="0"/>
              <w:spacing w:line="360" w:lineRule="exac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kern w:val="0"/>
              </w:rPr>
              <w:t>Constituents: 50% Glycerol, 0.01M PBS, PH 7.4</w:t>
            </w:r>
            <w:r>
              <w:rPr>
                <w:rFonts w:ascii="Arial" w:eastAsia="宋体" w:hAnsi="Arial" w:cs="Arial" w:hint="eastAsia"/>
                <w:kern w:val="0"/>
              </w:rPr>
              <w:t xml:space="preserve">   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Storage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/>
              </w:rPr>
              <w:t xml:space="preserve">Shipped at 4°C Upon delivery aliquot and store at -20°C or -80°C. Avoid </w:t>
            </w:r>
            <w:r>
              <w:rPr>
                <w:rFonts w:ascii="Arial" w:eastAsia="宋体" w:hAnsi="Arial" w:cs="Arial"/>
              </w:rPr>
              <w:t>repeated freeze.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Form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before="100" w:beforeAutospacing="1" w:after="100" w:afterAutospacing="1" w:line="360" w:lineRule="exact"/>
              <w:jc w:val="both"/>
              <w:rPr>
                <w:rFonts w:ascii="Arial" w:eastAsia="宋体" w:hAnsi="Arial" w:cs="Arial"/>
                <w:color w:val="262626"/>
              </w:rPr>
            </w:pPr>
            <w:r>
              <w:rPr>
                <w:rFonts w:ascii="Arial" w:eastAsia="宋体" w:hAnsi="Arial" w:cs="Arial"/>
                <w:kern w:val="0"/>
              </w:rPr>
              <w:t xml:space="preserve">Liquid 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Raised in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/>
                <w:kern w:val="0"/>
              </w:rPr>
              <w:t>Rabbit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Tested applications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pacing w:line="3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宋体" w:hAnsi="Arial" w:cs="Arial"/>
                <w:szCs w:val="24"/>
              </w:rPr>
              <w:t>ELISA</w:t>
            </w:r>
            <w:proofErr w:type="gramStart"/>
            <w:r>
              <w:rPr>
                <w:rFonts w:ascii="Arial" w:eastAsia="宋体" w:hAnsi="Arial" w:cs="Arial" w:hint="eastAsia"/>
                <w:szCs w:val="24"/>
              </w:rPr>
              <w:t>;</w:t>
            </w:r>
            <w:r>
              <w:rPr>
                <w:rFonts w:ascii="Arial" w:hAnsi="Arial" w:cs="Arial"/>
              </w:rPr>
              <w:t>Use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at an assay dependent dilution.</w:t>
            </w:r>
          </w:p>
          <w:p w:rsidR="005F6931" w:rsidRDefault="00247D34" w:rsidP="00801412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Style w:val="iblock"/>
                <w:rFonts w:ascii="Arial" w:hAnsi="Arial" w:cs="Arial" w:hint="eastAsia"/>
              </w:rPr>
              <w:t>WB:</w:t>
            </w:r>
            <w:r>
              <w:rPr>
                <w:rStyle w:val="iblock"/>
                <w:rFonts w:ascii="Arial" w:hAnsi="Arial" w:cs="Arial"/>
              </w:rPr>
              <w:t>1:</w:t>
            </w:r>
            <w:r>
              <w:rPr>
                <w:rStyle w:val="iblock"/>
                <w:rFonts w:ascii="Arial" w:hAnsi="Arial" w:cs="Arial" w:hint="eastAsia"/>
              </w:rPr>
              <w:t>200</w:t>
            </w:r>
            <w:r>
              <w:rPr>
                <w:rStyle w:val="iblock"/>
                <w:rFonts w:ascii="Arial" w:hAnsi="Arial" w:cs="Arial"/>
              </w:rPr>
              <w:t>-1:</w:t>
            </w:r>
            <w:r>
              <w:rPr>
                <w:rStyle w:val="iblock"/>
                <w:rFonts w:ascii="Arial" w:hAnsi="Arial" w:cs="Arial" w:hint="eastAsia"/>
              </w:rPr>
              <w:t>200</w:t>
            </w:r>
            <w:r>
              <w:rPr>
                <w:rStyle w:val="iblock"/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 xml:space="preserve">  </w:t>
            </w:r>
          </w:p>
          <w:p w:rsidR="005F6931" w:rsidRDefault="00247D34" w:rsidP="00801412">
            <w:pPr>
              <w:spacing w:line="360" w:lineRule="exact"/>
              <w:rPr>
                <w:rFonts w:ascii="Arial" w:eastAsia="宋体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IHC:1:20-1:200</w:t>
            </w:r>
            <w:r>
              <w:rPr>
                <w:rFonts w:ascii="Arial" w:hAnsi="Arial" w:cs="Arial" w:hint="eastAsia"/>
              </w:rPr>
              <w:t xml:space="preserve">                               </w:t>
            </w:r>
            <w:r>
              <w:rPr>
                <w:rFonts w:ascii="Arial" w:hAnsi="Arial" w:cs="Arial"/>
              </w:rPr>
              <w:t>(Recommender dilutions)</w:t>
            </w:r>
          </w:p>
        </w:tc>
      </w:tr>
      <w:tr w:rsidR="005F6931" w:rsidTr="008014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>Positive WB detected in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hd w:val="clear" w:color="auto" w:fill="FFFFFF"/>
              <w:spacing w:line="360" w:lineRule="exact"/>
              <w:rPr>
                <w:rStyle w:val="iblock"/>
                <w:rFonts w:ascii="Arial" w:hAnsi="Arial" w:cs="Arial"/>
              </w:rPr>
            </w:pP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EC109 whole cell lysate</w:t>
            </w:r>
            <w:r>
              <w:rPr>
                <w:rFonts w:ascii="Arial" w:eastAsia="宋体" w:hAnsi="Arial" w:cs="Arial" w:hint="eastAsia"/>
                <w:color w:val="333333"/>
                <w:kern w:val="0"/>
                <w:shd w:val="clear" w:color="auto" w:fill="FFFFFF"/>
              </w:rPr>
              <w:t>,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 xml:space="preserve">293T 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whole cell lysate</w:t>
            </w:r>
          </w:p>
        </w:tc>
      </w:tr>
      <w:tr w:rsidR="005F6931" w:rsidTr="008014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6931" w:rsidRDefault="00247D34" w:rsidP="00801412">
            <w:pPr>
              <w:widowControl w:val="0"/>
              <w:spacing w:line="360" w:lineRule="exact"/>
              <w:jc w:val="both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 w:hint="eastAsia"/>
                <w:b/>
                <w:bCs/>
                <w:kern w:val="0"/>
              </w:rPr>
              <w:t xml:space="preserve">Positive 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 xml:space="preserve">IHC </w:t>
            </w:r>
            <w:r>
              <w:rPr>
                <w:rFonts w:ascii="Arial" w:hAnsi="Arial" w:cs="Arial" w:hint="eastAsia"/>
                <w:b/>
                <w:bCs/>
                <w:kern w:val="0"/>
              </w:rPr>
              <w:t>detected in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931" w:rsidRDefault="00247D34" w:rsidP="00801412">
            <w:pPr>
              <w:shd w:val="clear" w:color="auto" w:fill="FFFFFF"/>
              <w:spacing w:line="360" w:lineRule="exact"/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</w:pPr>
            <w:r>
              <w:rPr>
                <w:rFonts w:ascii="Arial" w:eastAsia="宋体" w:hAnsi="Arial" w:cs="Arial"/>
                <w:color w:val="333333"/>
                <w:shd w:val="clear" w:color="auto" w:fill="FFFFFF"/>
              </w:rPr>
              <w:t xml:space="preserve">human kidney </w:t>
            </w:r>
          </w:p>
        </w:tc>
      </w:tr>
      <w:tr w:rsidR="005F6931" w:rsidTr="0080141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Images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931" w:rsidRDefault="00247D34">
            <w:pPr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 w:hint="eastAsia"/>
                <w:kern w:val="0"/>
              </w:rPr>
              <w:t>Western blot</w:t>
            </w:r>
          </w:p>
          <w:p w:rsidR="005F6931" w:rsidRDefault="00247D34"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 w:fldLock="1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INCLUDEPICTURE \d "C:\\Documents and Settings\\Administrator\\Application Data\\Tencent\\Users\\1436008204\\QQ\\WinTemp\\RichOle\\OJ4VL%Y)33DEO15}9I~]3MP.jpg" \* MERGEFORMAT </w:instrTex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  <w:r w:rsidR="00801412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25" o:spid="_x0000_i1025" type="#_x0000_t75" style="width:102pt;height:183.75pt">
                  <v:imagedata r:id="rId8" r:href="rId9"/>
                </v:shap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</w:p>
          <w:p w:rsidR="005F6931" w:rsidRDefault="00247D3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t xml:space="preserve">All </w:t>
            </w:r>
            <w:proofErr w:type="spellStart"/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t>lanes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hd w:val="clear" w:color="auto" w:fill="FFFFFF"/>
              </w:rPr>
              <w:t>: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Alpha-enolase</w:t>
            </w:r>
            <w:proofErr w:type="spellEnd"/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 xml:space="preserve"> antibody at 2</w:t>
            </w:r>
            <w:r>
              <w:rPr>
                <w:rFonts w:ascii="Arial" w:eastAsia="宋体" w:hAnsi="Arial" w:cs="Arial" w:hint="eastAsia"/>
                <w:color w:val="333333"/>
                <w:kern w:val="0"/>
                <w:shd w:val="clear" w:color="auto" w:fill="FFFFFF"/>
              </w:rPr>
              <w:t>u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g/ml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br/>
            </w:r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t>Lane 1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hd w:val="clear" w:color="auto" w:fill="FFFFFF"/>
              </w:rPr>
              <w:t>: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EC109 whole cell lysate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br/>
            </w:r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t>Lane 2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hd w:val="clear" w:color="auto" w:fill="FFFFFF"/>
              </w:rPr>
              <w:t>: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293T whole cell lysate</w:t>
            </w:r>
          </w:p>
          <w:p w:rsidR="005F6931" w:rsidRDefault="00247D3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lastRenderedPageBreak/>
              <w:t>Secondary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br/>
              <w:t xml:space="preserve">Goat polyclonal to Rabbit </w:t>
            </w:r>
            <w:proofErr w:type="spellStart"/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IgG</w:t>
            </w:r>
            <w:proofErr w:type="spellEnd"/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 xml:space="preserve"> at 1/15000 dilution</w:t>
            </w:r>
          </w:p>
          <w:p w:rsidR="005F6931" w:rsidRDefault="00247D3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t>Predicted band size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hd w:val="clear" w:color="auto" w:fill="FFFFFF"/>
              </w:rPr>
              <w:t>: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 xml:space="preserve">47.7 </w:t>
            </w:r>
            <w:proofErr w:type="spellStart"/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kDa</w:t>
            </w:r>
            <w:proofErr w:type="spellEnd"/>
          </w:p>
          <w:p w:rsidR="005F6931" w:rsidRDefault="00247D3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Fonts w:ascii="Arial" w:eastAsia="宋体" w:hAnsi="Arial" w:cs="Arial"/>
                <w:b/>
                <w:color w:val="333333"/>
                <w:kern w:val="0"/>
                <w:shd w:val="clear" w:color="auto" w:fill="FFFFFF"/>
              </w:rPr>
              <w:t>Observed band size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hd w:val="clear" w:color="auto" w:fill="FFFFFF"/>
              </w:rPr>
              <w:t>:</w:t>
            </w:r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 xml:space="preserve">47.7 </w:t>
            </w:r>
            <w:proofErr w:type="spellStart"/>
            <w:r>
              <w:rPr>
                <w:rFonts w:ascii="Arial" w:eastAsia="宋体" w:hAnsi="Arial" w:cs="Arial"/>
                <w:color w:val="333333"/>
                <w:kern w:val="0"/>
                <w:shd w:val="clear" w:color="auto" w:fill="FFFFFF"/>
              </w:rPr>
              <w:t>kDa</w:t>
            </w:r>
            <w:proofErr w:type="spellEnd"/>
          </w:p>
          <w:p w:rsidR="005F6931" w:rsidRDefault="00247D34">
            <w:pPr>
              <w:shd w:val="clear" w:color="auto" w:fill="FFFFFF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 w:hint="eastAsia"/>
                <w:kern w:val="0"/>
              </w:rPr>
              <w:t>Immunohistochemistry</w:t>
            </w:r>
          </w:p>
          <w:p w:rsidR="005F6931" w:rsidRDefault="00247D34"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 w:fldLock="1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INCLUDEPICTURE \d "C:\\Documents and Settings\\Administrator\\Application Data\\Tencent\\Users\\1436008204\\QQ\\WinTemp\\RichOle\\$61HF@[HDXM(P`T{E7UZI1T.jpg" \* MERGEFORMAT </w:instrTex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图片 1026" o:spid="_x0000_i1026" type="#_x0000_t75" style="width:241.5pt;height:194.25pt">
                  <v:imagedata r:id="rId10" r:href="rId11"/>
                </v:shape>
              </w:pic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</w:p>
          <w:p w:rsidR="005F6931" w:rsidRDefault="00247D34">
            <w:pPr>
              <w:shd w:val="clear" w:color="auto" w:fill="FFFFFF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eastAsia="宋体" w:hAnsi="Arial" w:cs="Arial"/>
                <w:color w:val="333333"/>
                <w:shd w:val="clear" w:color="auto" w:fill="FFFFFF"/>
              </w:rPr>
              <w:t>Immunohistochemistry of paraffin-</w:t>
            </w:r>
            <w:proofErr w:type="spellStart"/>
            <w:r>
              <w:rPr>
                <w:rFonts w:ascii="Arial" w:eastAsia="宋体" w:hAnsi="Arial" w:cs="Arial"/>
                <w:color w:val="333333"/>
                <w:shd w:val="clear" w:color="auto" w:fill="FFFFFF"/>
              </w:rPr>
              <w:t>embeded</w:t>
            </w:r>
            <w:proofErr w:type="spellEnd"/>
            <w:r>
              <w:rPr>
                <w:rFonts w:ascii="Arial" w:eastAsia="宋体" w:hAnsi="Arial" w:cs="Arial"/>
                <w:color w:val="333333"/>
                <w:shd w:val="clear" w:color="auto" w:fill="FFFFFF"/>
              </w:rPr>
              <w:t> human kidney using CSB-PA02395A0Rb a</w:t>
            </w:r>
            <w:r>
              <w:rPr>
                <w:rFonts w:ascii="Arial" w:eastAsia="宋体" w:hAnsi="Arial" w:cs="Arial"/>
                <w:color w:val="333333"/>
                <w:shd w:val="clear" w:color="auto" w:fill="FFFFFF"/>
              </w:rPr>
              <w:t>t dilution of 1:50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color w:val="00000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lastRenderedPageBreak/>
              <w:t>Function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Multifunctional enzyme that, as well as its role in glycolysis, plays a part in various processes such as growth control, hypoxia tolerance and allergic responses. May also function in the intravascular and </w:t>
            </w:r>
            <w:proofErr w:type="spellStart"/>
            <w:r>
              <w:rPr>
                <w:rFonts w:ascii="Arial" w:eastAsia="宋体" w:hAnsi="Arial" w:cs="Arial" w:hint="eastAsia"/>
              </w:rPr>
              <w:t>pericellular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</w:rPr>
              <w:t>fibrino</w:t>
            </w:r>
            <w:r>
              <w:rPr>
                <w:rFonts w:ascii="Arial" w:eastAsia="宋体" w:hAnsi="Arial" w:cs="Arial" w:hint="eastAsia"/>
              </w:rPr>
              <w:t>lytic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system due to its ability to serve as a receptor and activator of plasminogen on the cell surface of several cell-types such as leukocytes and neurons. Stimulates immunoglobulin production. MBP1 binds to the </w:t>
            </w:r>
            <w:proofErr w:type="spellStart"/>
            <w:r>
              <w:rPr>
                <w:rFonts w:ascii="Arial" w:eastAsia="宋体" w:hAnsi="Arial" w:cs="Arial" w:hint="eastAsia"/>
              </w:rPr>
              <w:t>myc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promoter and acts as a transcriptional</w:t>
            </w:r>
            <w:r>
              <w:rPr>
                <w:rFonts w:ascii="Arial" w:eastAsia="宋体" w:hAnsi="Arial" w:cs="Arial" w:hint="eastAsia"/>
              </w:rPr>
              <w:t xml:space="preserve"> repressor. May be a tumor suppressor.</w:t>
            </w:r>
          </w:p>
        </w:tc>
      </w:tr>
      <w:tr w:rsidR="005F693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6931" w:rsidRDefault="00247D34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</w:rPr>
              <w:t>References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[1]"</w:t>
            </w:r>
            <w:r>
              <w:rPr>
                <w:rFonts w:ascii="Arial" w:eastAsia="宋体" w:hAnsi="Arial" w:cs="Arial" w:hint="eastAsia"/>
              </w:rPr>
              <w:t>Structure of human alpha-</w:t>
            </w:r>
            <w:proofErr w:type="spellStart"/>
            <w:r>
              <w:rPr>
                <w:rFonts w:ascii="Arial" w:eastAsia="宋体" w:hAnsi="Arial" w:cs="Arial" w:hint="eastAsia"/>
              </w:rPr>
              <w:t>enolase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(hENO1), a multifunctional glycolytic </w:t>
            </w:r>
            <w:proofErr w:type="spellStart"/>
            <w:r>
              <w:rPr>
                <w:rFonts w:ascii="Arial" w:eastAsia="宋体" w:hAnsi="Arial" w:cs="Arial" w:hint="eastAsia"/>
              </w:rPr>
              <w:t>enzyme."Kang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H.J., Jung S.K., Kim S.J., Chung </w:t>
            </w:r>
            <w:proofErr w:type="spellStart"/>
            <w:r>
              <w:rPr>
                <w:rFonts w:ascii="Arial" w:eastAsia="宋体" w:hAnsi="Arial" w:cs="Arial" w:hint="eastAsia"/>
              </w:rPr>
              <w:t>S.J.Acta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</w:rPr>
              <w:t>Crystallogr</w:t>
            </w:r>
            <w:proofErr w:type="spellEnd"/>
            <w:r>
              <w:rPr>
                <w:rFonts w:ascii="Arial" w:eastAsia="宋体" w:hAnsi="Arial" w:cs="Arial" w:hint="eastAsia"/>
              </w:rPr>
              <w:t>. D 64:651-657(2008)</w:t>
            </w:r>
            <w:r>
              <w:rPr>
                <w:rFonts w:ascii="Arial" w:eastAsia="宋体" w:hAnsi="Arial" w:cs="Arial" w:hint="eastAsia"/>
              </w:rPr>
              <w:t>.</w:t>
            </w:r>
          </w:p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[</w:t>
            </w:r>
            <w:r>
              <w:rPr>
                <w:rFonts w:ascii="Arial" w:eastAsia="宋体" w:hAnsi="Arial" w:cs="Arial" w:hint="eastAsia"/>
              </w:rPr>
              <w:t>2</w:t>
            </w:r>
            <w:r>
              <w:rPr>
                <w:rFonts w:ascii="Arial" w:eastAsia="宋体" w:hAnsi="Arial" w:cs="Arial"/>
              </w:rPr>
              <w:t>]"</w:t>
            </w:r>
            <w:r>
              <w:rPr>
                <w:rFonts w:ascii="Arial" w:eastAsia="宋体" w:hAnsi="Arial" w:cs="Arial" w:hint="eastAsia"/>
              </w:rPr>
              <w:t xml:space="preserve">The first identification of lysine </w:t>
            </w:r>
            <w:proofErr w:type="spellStart"/>
            <w:r>
              <w:rPr>
                <w:rFonts w:ascii="Arial" w:eastAsia="宋体" w:hAnsi="Arial" w:cs="Arial" w:hint="eastAsia"/>
              </w:rPr>
              <w:t>malonylation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substrates and its regulatory enzyme."</w:t>
            </w:r>
          </w:p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proofErr w:type="spellStart"/>
            <w:r>
              <w:rPr>
                <w:rFonts w:ascii="Arial" w:eastAsia="宋体" w:hAnsi="Arial" w:cs="Arial" w:hint="eastAsia"/>
              </w:rPr>
              <w:t>Peng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C., Lu Z., </w:t>
            </w:r>
            <w:proofErr w:type="spellStart"/>
            <w:r>
              <w:rPr>
                <w:rFonts w:ascii="Arial" w:eastAsia="宋体" w:hAnsi="Arial" w:cs="Arial" w:hint="eastAsia"/>
              </w:rPr>
              <w:t>Xie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Z., Cheng Z., Chen Y., Tan M., </w:t>
            </w:r>
            <w:proofErr w:type="spellStart"/>
            <w:r>
              <w:rPr>
                <w:rFonts w:ascii="Arial" w:eastAsia="宋体" w:hAnsi="Arial" w:cs="Arial" w:hint="eastAsia"/>
              </w:rPr>
              <w:t>Luo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H., Zhang Y., He W., Yang K., </w:t>
            </w:r>
            <w:proofErr w:type="spellStart"/>
            <w:r>
              <w:rPr>
                <w:rFonts w:ascii="Arial" w:eastAsia="宋体" w:hAnsi="Arial" w:cs="Arial" w:hint="eastAsia"/>
              </w:rPr>
              <w:t>Zwaans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B.M., </w:t>
            </w:r>
            <w:proofErr w:type="spellStart"/>
            <w:r>
              <w:rPr>
                <w:rFonts w:ascii="Arial" w:eastAsia="宋体" w:hAnsi="Arial" w:cs="Arial" w:hint="eastAsia"/>
              </w:rPr>
              <w:t>Tishkoff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D., Ho L., Lombard D., He T.C., Dai J., </w:t>
            </w:r>
            <w:proofErr w:type="spellStart"/>
            <w:r>
              <w:rPr>
                <w:rFonts w:ascii="Arial" w:eastAsia="宋体" w:hAnsi="Arial" w:cs="Arial" w:hint="eastAsia"/>
              </w:rPr>
              <w:t>Verdin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E., Ye Y., Zhao Y.</w:t>
            </w:r>
          </w:p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Mol. Cell. Proteomics 10:M111.0</w:t>
            </w:r>
            <w:r>
              <w:rPr>
                <w:rFonts w:ascii="Arial" w:eastAsia="宋体" w:hAnsi="Arial" w:cs="Arial" w:hint="eastAsia"/>
              </w:rPr>
              <w:t>12658.01-</w:t>
            </w:r>
            <w:proofErr w:type="gramStart"/>
            <w:r>
              <w:rPr>
                <w:rFonts w:ascii="Arial" w:eastAsia="宋体" w:hAnsi="Arial" w:cs="Arial" w:hint="eastAsia"/>
              </w:rPr>
              <w:t>M111.012658.12(</w:t>
            </w:r>
            <w:proofErr w:type="gramEnd"/>
            <w:r>
              <w:rPr>
                <w:rFonts w:ascii="Arial" w:eastAsia="宋体" w:hAnsi="Arial" w:cs="Arial" w:hint="eastAsia"/>
              </w:rPr>
              <w:t>2011)</w:t>
            </w:r>
            <w:r>
              <w:rPr>
                <w:rFonts w:ascii="Arial" w:eastAsia="宋体" w:hAnsi="Arial" w:cs="Arial" w:hint="eastAsia"/>
              </w:rPr>
              <w:t>.</w:t>
            </w:r>
          </w:p>
          <w:p w:rsidR="005F6931" w:rsidRDefault="00247D34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[</w:t>
            </w:r>
            <w:r>
              <w:rPr>
                <w:rFonts w:ascii="Arial" w:eastAsia="宋体" w:hAnsi="Arial" w:cs="Arial" w:hint="eastAsia"/>
              </w:rPr>
              <w:t>3</w:t>
            </w:r>
            <w:r>
              <w:rPr>
                <w:rFonts w:ascii="Arial" w:eastAsia="宋体" w:hAnsi="Arial" w:cs="Arial"/>
              </w:rPr>
              <w:t>]"</w:t>
            </w:r>
            <w:r>
              <w:rPr>
                <w:rFonts w:ascii="Arial" w:eastAsia="宋体" w:hAnsi="Arial" w:cs="Arial" w:hint="eastAsia"/>
              </w:rPr>
              <w:t>Initial characterization of the human central proteome."</w:t>
            </w:r>
            <w:proofErr w:type="spellStart"/>
            <w:r>
              <w:rPr>
                <w:rFonts w:ascii="Arial" w:eastAsia="宋体" w:hAnsi="Arial" w:cs="Arial" w:hint="eastAsia"/>
              </w:rPr>
              <w:t>Burkard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T.R., </w:t>
            </w:r>
            <w:proofErr w:type="spellStart"/>
            <w:r>
              <w:rPr>
                <w:rFonts w:ascii="Arial" w:eastAsia="宋体" w:hAnsi="Arial" w:cs="Arial" w:hint="eastAsia"/>
              </w:rPr>
              <w:t>Planyavsky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M., </w:t>
            </w:r>
            <w:proofErr w:type="spellStart"/>
            <w:r>
              <w:rPr>
                <w:rFonts w:ascii="Arial" w:eastAsia="宋体" w:hAnsi="Arial" w:cs="Arial" w:hint="eastAsia"/>
              </w:rPr>
              <w:t>Kaupe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I., </w:t>
            </w:r>
            <w:proofErr w:type="spellStart"/>
            <w:r>
              <w:rPr>
                <w:rFonts w:ascii="Arial" w:eastAsia="宋体" w:hAnsi="Arial" w:cs="Arial" w:hint="eastAsia"/>
              </w:rPr>
              <w:t>Breitwieser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F.P., </w:t>
            </w:r>
            <w:proofErr w:type="spellStart"/>
            <w:r>
              <w:rPr>
                <w:rFonts w:ascii="Arial" w:eastAsia="宋体" w:hAnsi="Arial" w:cs="Arial" w:hint="eastAsia"/>
              </w:rPr>
              <w:t>Buerckstuemmer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T., Bennett K.L., </w:t>
            </w:r>
            <w:proofErr w:type="spellStart"/>
            <w:r>
              <w:rPr>
                <w:rFonts w:ascii="Arial" w:eastAsia="宋体" w:hAnsi="Arial" w:cs="Arial" w:hint="eastAsia"/>
              </w:rPr>
              <w:t>Superti-Furga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G., </w:t>
            </w:r>
            <w:proofErr w:type="spellStart"/>
            <w:r>
              <w:rPr>
                <w:rFonts w:ascii="Arial" w:eastAsia="宋体" w:hAnsi="Arial" w:cs="Arial" w:hint="eastAsia"/>
              </w:rPr>
              <w:t>Colinge</w:t>
            </w:r>
            <w:proofErr w:type="spellEnd"/>
            <w:r>
              <w:rPr>
                <w:rFonts w:ascii="Arial" w:eastAsia="宋体" w:hAnsi="Arial" w:cs="Arial" w:hint="eastAsia"/>
              </w:rPr>
              <w:t xml:space="preserve"> J.BMC Syst. Biol. 5:17-17(2011)</w:t>
            </w:r>
            <w:r>
              <w:rPr>
                <w:rFonts w:ascii="Arial" w:eastAsia="宋体" w:hAnsi="Arial" w:cs="Arial" w:hint="eastAsia"/>
              </w:rPr>
              <w:t>.</w:t>
            </w:r>
          </w:p>
        </w:tc>
      </w:tr>
    </w:tbl>
    <w:p w:rsidR="005F6931" w:rsidRDefault="005F6931">
      <w:pPr>
        <w:rPr>
          <w:szCs w:val="18"/>
        </w:rPr>
      </w:pPr>
    </w:p>
    <w:sectPr w:rsidR="005F69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34" w:rsidRDefault="00247D34">
      <w:r>
        <w:separator/>
      </w:r>
    </w:p>
  </w:endnote>
  <w:endnote w:type="continuationSeparator" w:id="0">
    <w:p w:rsidR="00247D34" w:rsidRDefault="0024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5F69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5F69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5F69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34" w:rsidRDefault="00247D34">
      <w:r>
        <w:separator/>
      </w:r>
    </w:p>
  </w:footnote>
  <w:footnote w:type="continuationSeparator" w:id="0">
    <w:p w:rsidR="00247D34" w:rsidRDefault="0024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5F69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247D34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5F6931" w:rsidRDefault="005F6931">
    <w:pPr>
      <w:pStyle w:val="a5"/>
      <w:pBdr>
        <w:bottom w:val="none" w:sz="0" w:space="0" w:color="auto"/>
      </w:pBdr>
    </w:pPr>
  </w:p>
  <w:p w:rsidR="005F6931" w:rsidRDefault="005F6931">
    <w:pPr>
      <w:pStyle w:val="a5"/>
      <w:pBdr>
        <w:bottom w:val="none" w:sz="0" w:space="0" w:color="auto"/>
      </w:pBdr>
    </w:pPr>
  </w:p>
  <w:p w:rsidR="005F6931" w:rsidRDefault="005F693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1" w:rsidRDefault="005F69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931"/>
    <w:rsid w:val="00247D34"/>
    <w:rsid w:val="005F6931"/>
    <w:rsid w:val="008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Narrow" w:eastAsia="方正姚体" w:hAnsi="Arial Narrow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uiPriority w:val="22"/>
    <w:qFormat/>
    <w:locked/>
    <w:rPr>
      <w:b/>
      <w:bCs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iblock">
    <w:name w:val="ibloc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Application%20Data/Tencent/Users/1436008204/QQ/WinTemp/RichOle/$61HF@%5bHDXM(P%60T%7bE7UZI1T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Application%20Data/Tencent/Users/1436008204/QQ/WinTemp/RichOle/OJ4VL%25Y)33DEO15%7d9I~%5d3MP.jp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anti- human Interleukin-1 receptor antagonist polyclonal Antibody</dc:title>
  <dc:creator>Administrator</dc:creator>
  <cp:lastModifiedBy>Microsoft</cp:lastModifiedBy>
  <cp:revision>1</cp:revision>
  <cp:lastPrinted>2014-07-28T05:44:00Z</cp:lastPrinted>
  <dcterms:created xsi:type="dcterms:W3CDTF">2014-01-09T06:27:00Z</dcterms:created>
  <dcterms:modified xsi:type="dcterms:W3CDTF">2014-07-28T05:45:00Z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