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84" w:rsidRDefault="001652B1" w:rsidP="00F55F84">
      <w:pPr>
        <w:shd w:val="solid" w:color="FFFFFF" w:fill="auto"/>
        <w:autoSpaceDN w:val="0"/>
        <w:spacing w:line="360" w:lineRule="exact"/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Rabbit anti-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human Pro-epidermal growth factor polyclonal Antibody</w:t>
      </w: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;</w:t>
      </w:r>
      <w:r w:rsidR="00883059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85570" w:rsidRDefault="001652B1" w:rsidP="00F55F84">
      <w:pPr>
        <w:shd w:val="solid" w:color="FFFFFF" w:fill="auto"/>
        <w:autoSpaceDN w:val="0"/>
        <w:spacing w:line="360" w:lineRule="exac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 xml:space="preserve">HRP conjugated  </w:t>
      </w:r>
    </w:p>
    <w:p w:rsidR="00B85570" w:rsidRDefault="001652B1" w:rsidP="00F55F84">
      <w:pPr>
        <w:spacing w:beforeLines="50" w:before="156" w:afterLines="50" w:after="156" w:line="160" w:lineRule="exac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>Catalog Number: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kern w:val="0"/>
          <w:sz w:val="24"/>
        </w:rPr>
        <w:t>CSB-P</w:t>
      </w:r>
      <w:r>
        <w:rPr>
          <w:rFonts w:ascii="Arial" w:hAnsi="Arial" w:cs="Arial" w:hint="eastAsia"/>
          <w:b/>
          <w:bCs/>
          <w:kern w:val="0"/>
          <w:sz w:val="24"/>
        </w:rPr>
        <w:t>A06244B0Rb</w:t>
      </w:r>
    </w:p>
    <w:tbl>
      <w:tblPr>
        <w:tblpPr w:leftFromText="180" w:rightFromText="180" w:vertAnchor="text" w:tblpX="-68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646"/>
      </w:tblGrid>
      <w:tr w:rsidR="00B85570" w:rsidTr="00F55F84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Synonym Names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hd w:val="solid" w:color="FFFFFF" w:fill="auto"/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EGF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,</w:t>
            </w:r>
            <w:r w:rsidR="00883059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83059">
              <w:rPr>
                <w:rFonts w:ascii="Arial" w:hAnsi="Arial" w:cs="Arial" w:hint="eastAsia"/>
                <w:color w:val="000000"/>
                <w:shd w:val="clear" w:color="auto" w:fill="FFFFFF"/>
              </w:rPr>
              <w:t>Urogastrone</w:t>
            </w:r>
            <w:proofErr w:type="spellEnd"/>
          </w:p>
        </w:tc>
      </w:tr>
      <w:tr w:rsidR="00B85570" w:rsidTr="00F55F84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Product type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color w:val="262626"/>
                <w:kern w:val="0"/>
              </w:rPr>
              <w:t>Primary antibodies</w:t>
            </w:r>
          </w:p>
        </w:tc>
      </w:tr>
      <w:tr w:rsidR="00B85570" w:rsidTr="00F55F84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Description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</w:pPr>
            <w:r>
              <w:rPr>
                <w:rFonts w:ascii="Arial" w:hAnsi="Arial" w:cs="Arial"/>
                <w:color w:val="262626"/>
                <w:kern w:val="0"/>
              </w:rPr>
              <w:t>Rabbit polyclonal to</w:t>
            </w:r>
            <w:r>
              <w:rPr>
                <w:rFonts w:ascii="Arial" w:hAnsi="Arial" w:cs="Arial" w:hint="eastAsia"/>
                <w:color w:val="262626"/>
                <w:kern w:val="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EGF</w:t>
            </w:r>
          </w:p>
        </w:tc>
      </w:tr>
      <w:tr w:rsidR="00B85570" w:rsidTr="00F55F84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</w:rPr>
              <w:t>Clonality</w:t>
            </w:r>
            <w:proofErr w:type="spellEnd"/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color w:val="262626"/>
                <w:kern w:val="0"/>
              </w:rPr>
              <w:t>Polyclonal</w:t>
            </w:r>
          </w:p>
        </w:tc>
      </w:tr>
      <w:tr w:rsidR="00B85570" w:rsidTr="00F55F84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</w:rPr>
              <w:t>Isotype</w:t>
            </w:r>
            <w:proofErr w:type="spellEnd"/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IgG</w:t>
            </w:r>
          </w:p>
        </w:tc>
      </w:tr>
      <w:tr w:rsidR="00B85570" w:rsidTr="00F55F84">
        <w:trPr>
          <w:trHeight w:val="319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Reacts with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H</w:t>
            </w:r>
            <w:r>
              <w:rPr>
                <w:rFonts w:ascii="Arial" w:hAnsi="Arial" w:cs="Arial"/>
                <w:kern w:val="0"/>
              </w:rPr>
              <w:t>uman;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kern w:val="0"/>
              </w:rPr>
              <w:t>ther species are not tested. Please decide the specificity by homology.</w:t>
            </w:r>
          </w:p>
        </w:tc>
      </w:tr>
      <w:tr w:rsidR="00B85570" w:rsidTr="00F55F84">
        <w:trPr>
          <w:trHeight w:val="118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Conjugate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 xml:space="preserve">HRP conjugated  </w:t>
            </w:r>
          </w:p>
        </w:tc>
      </w:tr>
      <w:tr w:rsidR="00B85570" w:rsidTr="00F55F8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Purity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</w:rPr>
              <w:t>Caprylic</w:t>
            </w:r>
            <w:proofErr w:type="spellEnd"/>
            <w:r>
              <w:rPr>
                <w:rFonts w:ascii="Arial" w:hAnsi="Arial" w:cs="Arial"/>
              </w:rPr>
              <w:t xml:space="preserve"> Acid Ammonium Sulfate Precipitation purified</w:t>
            </w:r>
          </w:p>
        </w:tc>
      </w:tr>
      <w:tr w:rsidR="00B85570" w:rsidTr="00F55F84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Storage buffer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Preservative: 0.03% </w:t>
            </w:r>
            <w:proofErr w:type="spellStart"/>
            <w:r>
              <w:rPr>
                <w:rFonts w:ascii="Arial" w:hAnsi="Arial" w:cs="Arial"/>
              </w:rPr>
              <w:t>Proclin</w:t>
            </w:r>
            <w:proofErr w:type="spellEnd"/>
            <w:r>
              <w:rPr>
                <w:rFonts w:ascii="Arial" w:hAnsi="Arial" w:cs="Arial"/>
              </w:rPr>
              <w:t xml:space="preserve"> 300</w:t>
            </w:r>
          </w:p>
          <w:p w:rsidR="00B85570" w:rsidRDefault="001652B1" w:rsidP="00F55F84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Constituents: 50% Glycerol, 0.01M PBS, PH 7.4</w:t>
            </w:r>
          </w:p>
        </w:tc>
      </w:tr>
      <w:tr w:rsidR="00B85570" w:rsidTr="00F55F84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Storage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Shipped at 4°C Upon delivery aliquot and store at -20°C or -80°C. Avoid repeated freeze.</w:t>
            </w:r>
          </w:p>
        </w:tc>
      </w:tr>
      <w:tr w:rsidR="00B85570" w:rsidTr="00F55F84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Form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kern w:val="0"/>
              </w:rPr>
              <w:t xml:space="preserve">Liquid </w:t>
            </w:r>
          </w:p>
        </w:tc>
      </w:tr>
      <w:tr w:rsidR="00B85570" w:rsidTr="00F55F84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Raised in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kern w:val="0"/>
              </w:rPr>
              <w:t>Rabbit</w:t>
            </w:r>
          </w:p>
        </w:tc>
      </w:tr>
      <w:tr w:rsidR="00B85570" w:rsidTr="00F55F84">
        <w:trPr>
          <w:trHeight w:val="172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Tested applications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宋体" w:hAnsi="Arial" w:cs="Arial"/>
                <w:szCs w:val="24"/>
              </w:rPr>
              <w:t>ELISA,</w:t>
            </w:r>
            <w:r w:rsidR="00883059">
              <w:rPr>
                <w:rFonts w:ascii="Arial" w:eastAsia="宋体" w:hAnsi="Arial" w:cs="Arial" w:hint="eastAsia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Cs w:val="24"/>
              </w:rPr>
              <w:t>WB</w:t>
            </w:r>
            <w:r>
              <w:rPr>
                <w:rFonts w:ascii="Arial" w:eastAsia="宋体" w:hAnsi="Arial" w:cs="Arial" w:hint="eastAsia"/>
                <w:szCs w:val="24"/>
              </w:rPr>
              <w:t>;</w:t>
            </w:r>
            <w:r w:rsidR="00883059">
              <w:rPr>
                <w:rFonts w:ascii="Arial" w:eastAsia="宋体" w:hAnsi="Arial" w:cs="Arial" w:hint="eastAsia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Cs w:val="24"/>
              </w:rPr>
              <w:t>Not yet tested in other applications.</w:t>
            </w:r>
            <w:r>
              <w:rPr>
                <w:rStyle w:val="fullname"/>
                <w:rFonts w:ascii="Arial" w:hAnsi="Arial" w:cs="Arial" w:hint="eastAsia"/>
                <w:color w:val="000000"/>
              </w:rPr>
              <w:t xml:space="preserve">  </w:t>
            </w:r>
          </w:p>
        </w:tc>
      </w:tr>
      <w:tr w:rsidR="00B85570" w:rsidTr="00F55F84">
        <w:trPr>
          <w:trHeight w:val="452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Function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hd w:val="solid" w:color="FFFFFF" w:fill="auto"/>
              <w:autoSpaceDN w:val="0"/>
              <w:spacing w:line="360" w:lineRule="exac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EGF stimulates the growth of various epidermal and epithelial tissues in vivo and in vitro and of some fibroblasts in cell culture. </w:t>
            </w:r>
            <w:proofErr w:type="spellStart"/>
            <w:r>
              <w:rPr>
                <w:rFonts w:ascii="Arial" w:hAnsi="Arial" w:cs="Arial"/>
              </w:rPr>
              <w:t>Magnesiotropic</w:t>
            </w:r>
            <w:proofErr w:type="spellEnd"/>
            <w:r>
              <w:rPr>
                <w:rFonts w:ascii="Arial" w:hAnsi="Arial" w:cs="Arial"/>
              </w:rPr>
              <w:t xml:space="preserve"> hormone that stimulates magnesium reabsorption in the renal distal convoluted tubule via engagement of EGFR and activation of the magnesium channel TRPM6.</w:t>
            </w:r>
          </w:p>
        </w:tc>
      </w:tr>
      <w:tr w:rsidR="00B85570" w:rsidTr="00F55F84">
        <w:trPr>
          <w:trHeight w:val="2610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References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0" w:rsidRDefault="001652B1" w:rsidP="00F55F84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[1]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Arial" w:hAnsi="Arial" w:cs="Arial" w:hint="eastAsia"/>
              </w:rPr>
              <w:t>Crystal structure of the complex of human epidermal growth factor and receptor extracellular domains."</w:t>
            </w:r>
            <w:proofErr w:type="spellStart"/>
            <w:r>
              <w:rPr>
                <w:rFonts w:ascii="Arial" w:hAnsi="Arial" w:cs="Arial" w:hint="eastAsia"/>
              </w:rPr>
              <w:t>Ogiso</w:t>
            </w:r>
            <w:proofErr w:type="spellEnd"/>
            <w:r>
              <w:rPr>
                <w:rFonts w:ascii="Arial" w:hAnsi="Arial" w:cs="Arial" w:hint="eastAsia"/>
              </w:rPr>
              <w:t xml:space="preserve"> H., </w:t>
            </w:r>
            <w:proofErr w:type="spellStart"/>
            <w:r>
              <w:rPr>
                <w:rFonts w:ascii="Arial" w:hAnsi="Arial" w:cs="Arial" w:hint="eastAsia"/>
              </w:rPr>
              <w:t>Ishitani</w:t>
            </w:r>
            <w:proofErr w:type="spellEnd"/>
            <w:r>
              <w:rPr>
                <w:rFonts w:ascii="Arial" w:hAnsi="Arial" w:cs="Arial" w:hint="eastAsia"/>
              </w:rPr>
              <w:t xml:space="preserve"> R., </w:t>
            </w:r>
            <w:proofErr w:type="spellStart"/>
            <w:r>
              <w:rPr>
                <w:rFonts w:ascii="Arial" w:hAnsi="Arial" w:cs="Arial" w:hint="eastAsia"/>
              </w:rPr>
              <w:t>Nureki</w:t>
            </w:r>
            <w:proofErr w:type="spellEnd"/>
            <w:r>
              <w:rPr>
                <w:rFonts w:ascii="Arial" w:hAnsi="Arial" w:cs="Arial" w:hint="eastAsia"/>
              </w:rPr>
              <w:t xml:space="preserve"> O., </w:t>
            </w:r>
            <w:proofErr w:type="spellStart"/>
            <w:r>
              <w:rPr>
                <w:rFonts w:ascii="Arial" w:hAnsi="Arial" w:cs="Arial" w:hint="eastAsia"/>
              </w:rPr>
              <w:t>Fukai</w:t>
            </w:r>
            <w:proofErr w:type="spellEnd"/>
            <w:r>
              <w:rPr>
                <w:rFonts w:ascii="Arial" w:hAnsi="Arial" w:cs="Arial" w:hint="eastAsia"/>
              </w:rPr>
              <w:t xml:space="preserve"> S., Yamanaka M., Kim J.H., Saito K., Sakamoto A., Inoue M., Shirouzu M., Yokoyama </w:t>
            </w:r>
            <w:proofErr w:type="spellStart"/>
            <w:r>
              <w:rPr>
                <w:rFonts w:ascii="Arial" w:hAnsi="Arial" w:cs="Arial" w:hint="eastAsia"/>
              </w:rPr>
              <w:t>S.Cell</w:t>
            </w:r>
            <w:proofErr w:type="spellEnd"/>
            <w:r>
              <w:rPr>
                <w:rFonts w:ascii="Arial" w:hAnsi="Arial" w:cs="Arial" w:hint="eastAsia"/>
              </w:rPr>
              <w:t xml:space="preserve"> 110:775-787(2002).</w:t>
            </w:r>
          </w:p>
          <w:p w:rsidR="00B85570" w:rsidRDefault="001652B1" w:rsidP="00F55F84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[2]"EGF activates its receptor by removing interactions that </w:t>
            </w:r>
            <w:proofErr w:type="spellStart"/>
            <w:r>
              <w:rPr>
                <w:rFonts w:ascii="Arial" w:hAnsi="Arial" w:cs="Arial" w:hint="eastAsia"/>
              </w:rPr>
              <w:t>autoinhibit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ectodomain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dimerization."Ferguson</w:t>
            </w:r>
            <w:proofErr w:type="spellEnd"/>
            <w:r>
              <w:rPr>
                <w:rFonts w:ascii="Arial" w:hAnsi="Arial" w:cs="Arial" w:hint="eastAsia"/>
              </w:rPr>
              <w:t xml:space="preserve"> K.M., Berger M.B., </w:t>
            </w:r>
            <w:proofErr w:type="spellStart"/>
            <w:r>
              <w:rPr>
                <w:rFonts w:ascii="Arial" w:hAnsi="Arial" w:cs="Arial" w:hint="eastAsia"/>
              </w:rPr>
              <w:t>Mendrola</w:t>
            </w:r>
            <w:proofErr w:type="spellEnd"/>
            <w:r>
              <w:rPr>
                <w:rFonts w:ascii="Arial" w:hAnsi="Arial" w:cs="Arial" w:hint="eastAsia"/>
              </w:rPr>
              <w:t xml:space="preserve"> J.M., Cho H.S., Leahy D.J., Lemmon </w:t>
            </w:r>
            <w:proofErr w:type="spellStart"/>
            <w:r>
              <w:rPr>
                <w:rFonts w:ascii="Arial" w:hAnsi="Arial" w:cs="Arial" w:hint="eastAsia"/>
              </w:rPr>
              <w:t>M.A.Mol</w:t>
            </w:r>
            <w:proofErr w:type="spellEnd"/>
            <w:r>
              <w:rPr>
                <w:rFonts w:ascii="Arial" w:hAnsi="Arial" w:cs="Arial" w:hint="eastAsia"/>
              </w:rPr>
              <w:t>. Cell 11:507-517(2003</w:t>
            </w:r>
            <w:proofErr w:type="gramStart"/>
            <w:r>
              <w:rPr>
                <w:rFonts w:ascii="Arial" w:hAnsi="Arial" w:cs="Arial" w:hint="eastAsia"/>
              </w:rPr>
              <w:t>) .</w:t>
            </w:r>
            <w:proofErr w:type="gramEnd"/>
          </w:p>
          <w:p w:rsidR="00B85570" w:rsidRDefault="001652B1" w:rsidP="00F55F84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[3]"Structural evidence for loose linkage between ligand binding and kinase activation in the epidermal growth factor </w:t>
            </w:r>
            <w:proofErr w:type="spellStart"/>
            <w:r>
              <w:rPr>
                <w:rFonts w:ascii="Arial" w:hAnsi="Arial" w:cs="Arial" w:hint="eastAsia"/>
              </w:rPr>
              <w:t>receptor."Lu</w:t>
            </w:r>
            <w:proofErr w:type="spellEnd"/>
            <w:r>
              <w:rPr>
                <w:rFonts w:ascii="Arial" w:hAnsi="Arial" w:cs="Arial" w:hint="eastAsia"/>
              </w:rPr>
              <w:t xml:space="preserve"> C., </w:t>
            </w:r>
            <w:proofErr w:type="spellStart"/>
            <w:r>
              <w:rPr>
                <w:rFonts w:ascii="Arial" w:hAnsi="Arial" w:cs="Arial" w:hint="eastAsia"/>
              </w:rPr>
              <w:t>Mi</w:t>
            </w:r>
            <w:proofErr w:type="spellEnd"/>
            <w:r>
              <w:rPr>
                <w:rFonts w:ascii="Arial" w:hAnsi="Arial" w:cs="Arial" w:hint="eastAsia"/>
              </w:rPr>
              <w:t xml:space="preserve"> L.Z., Grey M.J., Zhu J., </w:t>
            </w:r>
            <w:proofErr w:type="spellStart"/>
            <w:r>
              <w:rPr>
                <w:rFonts w:ascii="Arial" w:hAnsi="Arial" w:cs="Arial" w:hint="eastAsia"/>
              </w:rPr>
              <w:t>Graef</w:t>
            </w:r>
            <w:proofErr w:type="spellEnd"/>
            <w:r>
              <w:rPr>
                <w:rFonts w:ascii="Arial" w:hAnsi="Arial" w:cs="Arial" w:hint="eastAsia"/>
              </w:rPr>
              <w:t xml:space="preserve"> E., Yokoyama S., Springer </w:t>
            </w:r>
            <w:proofErr w:type="spellStart"/>
            <w:r>
              <w:rPr>
                <w:rFonts w:ascii="Arial" w:hAnsi="Arial" w:cs="Arial" w:hint="eastAsia"/>
              </w:rPr>
              <w:t>T.A.Mol</w:t>
            </w:r>
            <w:proofErr w:type="spellEnd"/>
            <w:r>
              <w:rPr>
                <w:rFonts w:ascii="Arial" w:hAnsi="Arial" w:cs="Arial" w:hint="eastAsia"/>
              </w:rPr>
              <w:t>. Cell. Biol. 30:5432-5443(2010).</w:t>
            </w:r>
          </w:p>
        </w:tc>
      </w:tr>
    </w:tbl>
    <w:p w:rsidR="00B85570" w:rsidRDefault="00B85570">
      <w:pPr>
        <w:rPr>
          <w:b/>
          <w:bCs/>
        </w:rPr>
      </w:pPr>
    </w:p>
    <w:sectPr w:rsidR="00B85570" w:rsidSect="00F55F84">
      <w:headerReference w:type="default" r:id="rId8"/>
      <w:pgSz w:w="11906" w:h="16838"/>
      <w:pgMar w:top="1701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AE" w:rsidRDefault="008F11AE">
      <w:r>
        <w:separator/>
      </w:r>
    </w:p>
  </w:endnote>
  <w:endnote w:type="continuationSeparator" w:id="0">
    <w:p w:rsidR="008F11AE" w:rsidRDefault="008F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AE" w:rsidRDefault="008F11AE">
      <w:r>
        <w:separator/>
      </w:r>
    </w:p>
  </w:footnote>
  <w:footnote w:type="continuationSeparator" w:id="0">
    <w:p w:rsidR="008F11AE" w:rsidRDefault="008F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70" w:rsidRDefault="008F11AE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33.7pt;margin-top:-59.8pt;width:595.5pt;height:842.25pt;z-index:-1">
          <v:imagedata r:id="rId1" o:title=""/>
        </v:shape>
      </w:pict>
    </w:r>
  </w:p>
  <w:p w:rsidR="00B85570" w:rsidRDefault="00B85570">
    <w:pPr>
      <w:pStyle w:val="a5"/>
      <w:pBdr>
        <w:bottom w:val="none" w:sz="0" w:space="0" w:color="auto"/>
      </w:pBdr>
    </w:pPr>
  </w:p>
  <w:p w:rsidR="00B85570" w:rsidRDefault="00B85570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70"/>
    <w:rsid w:val="001652B1"/>
    <w:rsid w:val="00883059"/>
    <w:rsid w:val="008F11AE"/>
    <w:rsid w:val="00B85570"/>
    <w:rsid w:val="00F5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full">
    <w:name w:val="ful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anti-human KIAA1199 polyclonal Antibody</dc:title>
  <dc:creator>Administrator</dc:creator>
  <cp:lastModifiedBy>Microsoft</cp:lastModifiedBy>
  <cp:revision>2</cp:revision>
  <cp:lastPrinted>2012-05-31T05:52:00Z</cp:lastPrinted>
  <dcterms:created xsi:type="dcterms:W3CDTF">2014-01-09T06:27:00Z</dcterms:created>
  <dcterms:modified xsi:type="dcterms:W3CDTF">2014-08-14T06:32:00Z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