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FB" w:rsidRDefault="007D5CD6">
      <w:pPr>
        <w:spacing w:line="440" w:lineRule="exact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Rabbit anti-</w:t>
      </w:r>
      <w:r>
        <w:rPr>
          <w:rFonts w:ascii="Arial" w:hAnsi="Arial" w:cs="Arial" w:hint="eastAsia"/>
          <w:b/>
          <w:sz w:val="28"/>
          <w:szCs w:val="28"/>
        </w:rPr>
        <w:t>human Fibroblast growth factor 2 polyclonal Antibody;</w:t>
      </w:r>
      <w:r w:rsidR="005F628B"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A74C4C" w:rsidRDefault="007D5CD6">
      <w:pPr>
        <w:spacing w:line="4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FITC conjugated</w:t>
      </w:r>
    </w:p>
    <w:p w:rsidR="00A74C4C" w:rsidRDefault="007D5CD6" w:rsidP="006758FB">
      <w:pPr>
        <w:spacing w:beforeLines="50" w:before="156" w:afterLines="50" w:after="156" w:line="160" w:lineRule="exac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Catalog Number: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b/>
          <w:bCs/>
          <w:kern w:val="0"/>
          <w:sz w:val="24"/>
        </w:rPr>
        <w:t>CSB-PA12847C0Rb</w:t>
      </w:r>
    </w:p>
    <w:tbl>
      <w:tblPr>
        <w:tblpPr w:leftFromText="180" w:rightFromText="180" w:vertAnchor="text" w:tblpX="-318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072"/>
      </w:tblGrid>
      <w:tr w:rsidR="00A74C4C" w:rsidTr="006758FB">
        <w:trPr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Synonym Names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FGF-2, Basic fibroblast growth factor, </w:t>
            </w:r>
            <w:proofErr w:type="spellStart"/>
            <w:r>
              <w:rPr>
                <w:rFonts w:ascii="Arial" w:hAnsi="Arial" w:cs="Arial"/>
              </w:rPr>
              <w:t>bFGF</w:t>
            </w:r>
            <w:proofErr w:type="spellEnd"/>
            <w:r>
              <w:rPr>
                <w:rFonts w:ascii="Arial" w:hAnsi="Arial" w:cs="Arial"/>
              </w:rPr>
              <w:t>, Heparin-binding growth factor 2, HBGF-2, FGFB, FGF2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Primary antibodies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Description</w:t>
            </w:r>
            <w:bookmarkStart w:id="0" w:name="_GoBack"/>
            <w:bookmarkEnd w:id="0"/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</w:pPr>
            <w:r>
              <w:rPr>
                <w:rFonts w:ascii="Arial" w:hAnsi="Arial" w:cs="Arial"/>
                <w:color w:val="262626"/>
                <w:kern w:val="0"/>
              </w:rPr>
              <w:t>Rabbit polyclonal to</w:t>
            </w:r>
            <w:r>
              <w:rPr>
                <w:rFonts w:ascii="Arial" w:hAnsi="Arial" w:cs="Arial" w:hint="eastAsia"/>
                <w:color w:val="262626"/>
                <w:kern w:val="0"/>
              </w:rPr>
              <w:t xml:space="preserve"> </w:t>
            </w:r>
            <w:r>
              <w:rPr>
                <w:rFonts w:ascii="Arial" w:hAnsi="Arial" w:cs="Arial"/>
              </w:rPr>
              <w:t>FGF2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Clonality</w:t>
            </w:r>
            <w:proofErr w:type="spellEnd"/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Polyclonal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Isotype</w:t>
            </w:r>
            <w:proofErr w:type="spellEnd"/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IgG</w:t>
            </w:r>
            <w:proofErr w:type="spellEnd"/>
          </w:p>
        </w:tc>
      </w:tr>
      <w:tr w:rsidR="00A74C4C" w:rsidTr="006758FB">
        <w:trPr>
          <w:trHeight w:val="319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Reacts with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 w:hint="eastAsia"/>
                <w:kern w:val="0"/>
              </w:rPr>
              <w:t>H</w:t>
            </w:r>
            <w:r>
              <w:rPr>
                <w:rFonts w:ascii="Arial" w:hAnsi="Arial" w:cs="Arial"/>
                <w:kern w:val="0"/>
              </w:rPr>
              <w:t>uman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;</w:t>
            </w:r>
            <w:r>
              <w:rPr>
                <w:rFonts w:ascii="Arial" w:hAnsi="Arial" w:cs="Arial"/>
                <w:kern w:val="0"/>
              </w:rPr>
              <w:t>Other</w:t>
            </w:r>
            <w:proofErr w:type="spellEnd"/>
            <w:proofErr w:type="gramEnd"/>
            <w:r>
              <w:rPr>
                <w:rFonts w:ascii="Arial" w:hAnsi="Arial" w:cs="Arial"/>
                <w:kern w:val="0"/>
              </w:rPr>
              <w:t xml:space="preserve"> species are not tested. Please decide the specificity by homology.</w:t>
            </w:r>
          </w:p>
        </w:tc>
      </w:tr>
      <w:tr w:rsidR="00A74C4C" w:rsidTr="006758FB">
        <w:trPr>
          <w:trHeight w:val="118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FITC</w:t>
            </w:r>
            <w:r>
              <w:rPr>
                <w:rFonts w:ascii="Arial" w:hAnsi="Arial" w:cs="Arial"/>
                <w:kern w:val="0"/>
              </w:rPr>
              <w:t>-conjugated</w:t>
            </w:r>
          </w:p>
        </w:tc>
      </w:tr>
      <w:tr w:rsidR="00A74C4C" w:rsidTr="006758FB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Caprylic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Acid Ammonium Sulfate Precipitation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 buffer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Preservative: 0.03% </w:t>
            </w:r>
            <w:proofErr w:type="spellStart"/>
            <w:r>
              <w:rPr>
                <w:rFonts w:ascii="Arial" w:hAnsi="Arial" w:cs="Arial"/>
                <w:kern w:val="0"/>
              </w:rPr>
              <w:t>Proclin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300</w:t>
            </w:r>
          </w:p>
          <w:p w:rsidR="00A74C4C" w:rsidRDefault="007D5CD6" w:rsidP="006758F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Constituents: 50% Glycerol, 0.01M PBS, PH 7.4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Shipped at 4°C Upon delivery aliquot and store at -20°C or -80°C. Avoid repeated freeze.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Form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kern w:val="0"/>
              </w:rPr>
              <w:t xml:space="preserve">Liquid </w:t>
            </w:r>
          </w:p>
        </w:tc>
      </w:tr>
      <w:tr w:rsidR="00A74C4C" w:rsidTr="006758FB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 w:rsidP="006758FB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Raised in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 w:rsidP="006758FB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kern w:val="0"/>
              </w:rPr>
              <w:t>Rabbit</w:t>
            </w:r>
          </w:p>
        </w:tc>
      </w:tr>
      <w:tr w:rsidR="00A74C4C" w:rsidTr="006758FB">
        <w:trPr>
          <w:trHeight w:val="452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Tested applications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宋体" w:hAnsi="Arial" w:cs="Arial"/>
                <w:szCs w:val="24"/>
              </w:rPr>
              <w:t>ELISA,</w:t>
            </w:r>
            <w:r w:rsidR="00205373">
              <w:rPr>
                <w:rFonts w:ascii="Arial" w:eastAsia="宋体" w:hAnsi="Arial" w:cs="Arial" w:hint="eastAsia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Cs w:val="24"/>
              </w:rPr>
              <w:t>WB</w:t>
            </w:r>
            <w:r>
              <w:rPr>
                <w:rFonts w:ascii="Arial" w:eastAsia="宋体" w:hAnsi="Arial" w:cs="Arial" w:hint="eastAsia"/>
                <w:szCs w:val="24"/>
              </w:rPr>
              <w:t>;</w:t>
            </w:r>
            <w:r>
              <w:t xml:space="preserve"> </w:t>
            </w:r>
            <w:r>
              <w:rPr>
                <w:rFonts w:ascii="Arial" w:eastAsia="宋体" w:hAnsi="Arial" w:cs="Arial"/>
                <w:szCs w:val="24"/>
              </w:rPr>
              <w:t>Not yet tested in other applications.</w:t>
            </w:r>
            <w:r>
              <w:rPr>
                <w:rStyle w:val="fullname"/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A74C4C" w:rsidTr="006758FB">
        <w:trPr>
          <w:trHeight w:val="172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Function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Style w:val="fullname"/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Plays an important role in the regulation of cell survival, cell division, angiogenesis, cell differentiation and cell migration. Functions as potent mitogen in vitro.</w:t>
            </w:r>
          </w:p>
        </w:tc>
      </w:tr>
      <w:tr w:rsidR="00A74C4C" w:rsidTr="006758FB">
        <w:trPr>
          <w:trHeight w:val="397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References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C4C" w:rsidRDefault="007D5CD6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[1]"Structural basis for fibroblast growth factor receptor 2 activation in </w:t>
            </w:r>
            <w:proofErr w:type="spellStart"/>
            <w:r>
              <w:rPr>
                <w:rFonts w:ascii="Arial" w:hAnsi="Arial" w:cs="Arial" w:hint="eastAsia"/>
              </w:rPr>
              <w:t>Apert</w:t>
            </w:r>
            <w:proofErr w:type="spellEnd"/>
            <w:r>
              <w:rPr>
                <w:rFonts w:ascii="Arial" w:hAnsi="Arial" w:cs="Arial" w:hint="eastAsia"/>
              </w:rPr>
              <w:t xml:space="preserve"> syndrome."</w:t>
            </w:r>
            <w:proofErr w:type="spellStart"/>
            <w:r>
              <w:rPr>
                <w:rFonts w:ascii="Arial" w:hAnsi="Arial" w:cs="Arial" w:hint="eastAsia"/>
              </w:rPr>
              <w:t>Ibrahimi</w:t>
            </w:r>
            <w:proofErr w:type="spellEnd"/>
            <w:r>
              <w:rPr>
                <w:rFonts w:ascii="Arial" w:hAnsi="Arial" w:cs="Arial" w:hint="eastAsia"/>
              </w:rPr>
              <w:t xml:space="preserve"> O.A., </w:t>
            </w:r>
            <w:proofErr w:type="spellStart"/>
            <w:r>
              <w:rPr>
                <w:rFonts w:ascii="Arial" w:hAnsi="Arial" w:cs="Arial" w:hint="eastAsia"/>
              </w:rPr>
              <w:t>Eliseenkova</w:t>
            </w:r>
            <w:proofErr w:type="spellEnd"/>
            <w:r>
              <w:rPr>
                <w:rFonts w:ascii="Arial" w:hAnsi="Arial" w:cs="Arial" w:hint="eastAsia"/>
              </w:rPr>
              <w:t xml:space="preserve"> A.V., </w:t>
            </w:r>
            <w:proofErr w:type="spellStart"/>
            <w:r>
              <w:rPr>
                <w:rFonts w:ascii="Arial" w:hAnsi="Arial" w:cs="Arial" w:hint="eastAsia"/>
              </w:rPr>
              <w:t>Plotnikov</w:t>
            </w:r>
            <w:proofErr w:type="spellEnd"/>
            <w:r>
              <w:rPr>
                <w:rFonts w:ascii="Arial" w:hAnsi="Arial" w:cs="Arial" w:hint="eastAsia"/>
              </w:rPr>
              <w:t xml:space="preserve"> A.N., Yu K., </w:t>
            </w:r>
            <w:proofErr w:type="spellStart"/>
            <w:r>
              <w:rPr>
                <w:rFonts w:ascii="Arial" w:hAnsi="Arial" w:cs="Arial" w:hint="eastAsia"/>
              </w:rPr>
              <w:t>Ornitz</w:t>
            </w:r>
            <w:proofErr w:type="spellEnd"/>
            <w:r>
              <w:rPr>
                <w:rFonts w:ascii="Arial" w:hAnsi="Arial" w:cs="Arial" w:hint="eastAsia"/>
              </w:rPr>
              <w:t xml:space="preserve"> D.M., </w:t>
            </w:r>
            <w:proofErr w:type="spellStart"/>
            <w:r>
              <w:rPr>
                <w:rFonts w:ascii="Arial" w:hAnsi="Arial" w:cs="Arial" w:hint="eastAsia"/>
              </w:rPr>
              <w:t>Mohammadi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M.Proc</w:t>
            </w:r>
            <w:proofErr w:type="spellEnd"/>
            <w:r>
              <w:rPr>
                <w:rFonts w:ascii="Arial" w:hAnsi="Arial" w:cs="Arial" w:hint="eastAsia"/>
              </w:rPr>
              <w:t>. Natl. Acad. Sci. U.S.A. 98:7182-7187(2001).</w:t>
            </w:r>
          </w:p>
          <w:p w:rsidR="00A74C4C" w:rsidRDefault="007D5CD6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[2]"Cellular signaling by fibroblast growth factor receptors."</w:t>
            </w:r>
            <w:proofErr w:type="spellStart"/>
            <w:r>
              <w:rPr>
                <w:rFonts w:ascii="Arial" w:hAnsi="Arial" w:cs="Arial" w:hint="eastAsia"/>
              </w:rPr>
              <w:t>Eswarakumar</w:t>
            </w:r>
            <w:proofErr w:type="spellEnd"/>
            <w:r>
              <w:rPr>
                <w:rFonts w:ascii="Arial" w:hAnsi="Arial" w:cs="Arial" w:hint="eastAsia"/>
              </w:rPr>
              <w:t xml:space="preserve"> V.P., Lax I., </w:t>
            </w:r>
            <w:proofErr w:type="spellStart"/>
            <w:r>
              <w:rPr>
                <w:rFonts w:ascii="Arial" w:hAnsi="Arial" w:cs="Arial" w:hint="eastAsia"/>
              </w:rPr>
              <w:t>Schlessinger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J.Cytokine</w:t>
            </w:r>
            <w:proofErr w:type="spellEnd"/>
            <w:r>
              <w:rPr>
                <w:rFonts w:ascii="Arial" w:hAnsi="Arial" w:cs="Arial" w:hint="eastAsia"/>
              </w:rPr>
              <w:t xml:space="preserve"> Growth Factor Rev. 16:139-149(2005).</w:t>
            </w:r>
          </w:p>
          <w:p w:rsidR="00A74C4C" w:rsidRDefault="007D5CD6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[3]"Tec-kinase-mediated phosphorylation of fibroblast growth factor 2 is essential for unconventional </w:t>
            </w:r>
            <w:proofErr w:type="spellStart"/>
            <w:r>
              <w:rPr>
                <w:rFonts w:ascii="Arial" w:hAnsi="Arial" w:cs="Arial" w:hint="eastAsia"/>
              </w:rPr>
              <w:t>secretion."Ebert</w:t>
            </w:r>
            <w:proofErr w:type="spellEnd"/>
            <w:r>
              <w:rPr>
                <w:rFonts w:ascii="Arial" w:hAnsi="Arial" w:cs="Arial" w:hint="eastAsia"/>
              </w:rPr>
              <w:t xml:space="preserve"> A.D., </w:t>
            </w:r>
            <w:proofErr w:type="spellStart"/>
            <w:r>
              <w:rPr>
                <w:rFonts w:ascii="Arial" w:hAnsi="Arial" w:cs="Arial" w:hint="eastAsia"/>
              </w:rPr>
              <w:t>Laussmann</w:t>
            </w:r>
            <w:proofErr w:type="spellEnd"/>
            <w:r>
              <w:rPr>
                <w:rFonts w:ascii="Arial" w:hAnsi="Arial" w:cs="Arial" w:hint="eastAsia"/>
              </w:rPr>
              <w:t xml:space="preserve"> M., </w:t>
            </w:r>
            <w:proofErr w:type="spellStart"/>
            <w:r>
              <w:rPr>
                <w:rFonts w:ascii="Arial" w:hAnsi="Arial" w:cs="Arial" w:hint="eastAsia"/>
              </w:rPr>
              <w:t>Wegehingel</w:t>
            </w:r>
            <w:proofErr w:type="spellEnd"/>
            <w:r>
              <w:rPr>
                <w:rFonts w:ascii="Arial" w:hAnsi="Arial" w:cs="Arial" w:hint="eastAsia"/>
              </w:rPr>
              <w:t xml:space="preserve"> S., </w:t>
            </w:r>
            <w:proofErr w:type="spellStart"/>
            <w:r>
              <w:rPr>
                <w:rFonts w:ascii="Arial" w:hAnsi="Arial" w:cs="Arial" w:hint="eastAsia"/>
              </w:rPr>
              <w:t>Kaderali</w:t>
            </w:r>
            <w:proofErr w:type="spellEnd"/>
            <w:r>
              <w:rPr>
                <w:rFonts w:ascii="Arial" w:hAnsi="Arial" w:cs="Arial" w:hint="eastAsia"/>
              </w:rPr>
              <w:t xml:space="preserve"> L., </w:t>
            </w:r>
            <w:proofErr w:type="spellStart"/>
            <w:r>
              <w:rPr>
                <w:rFonts w:ascii="Arial" w:hAnsi="Arial" w:cs="Arial" w:hint="eastAsia"/>
              </w:rPr>
              <w:t>Erfle</w:t>
            </w:r>
            <w:proofErr w:type="spellEnd"/>
            <w:r>
              <w:rPr>
                <w:rFonts w:ascii="Arial" w:hAnsi="Arial" w:cs="Arial" w:hint="eastAsia"/>
              </w:rPr>
              <w:t xml:space="preserve"> H., Reichert J., </w:t>
            </w:r>
            <w:proofErr w:type="spellStart"/>
            <w:r>
              <w:rPr>
                <w:rFonts w:ascii="Arial" w:hAnsi="Arial" w:cs="Arial" w:hint="eastAsia"/>
              </w:rPr>
              <w:t>Lechner</w:t>
            </w:r>
            <w:proofErr w:type="spellEnd"/>
            <w:r>
              <w:rPr>
                <w:rFonts w:ascii="Arial" w:hAnsi="Arial" w:cs="Arial" w:hint="eastAsia"/>
              </w:rPr>
              <w:t xml:space="preserve"> J., Beer H.D., </w:t>
            </w:r>
            <w:proofErr w:type="spellStart"/>
            <w:r>
              <w:rPr>
                <w:rFonts w:ascii="Arial" w:hAnsi="Arial" w:cs="Arial" w:hint="eastAsia"/>
              </w:rPr>
              <w:t>Pepperkok</w:t>
            </w:r>
            <w:proofErr w:type="spellEnd"/>
            <w:r>
              <w:rPr>
                <w:rFonts w:ascii="Arial" w:hAnsi="Arial" w:cs="Arial" w:hint="eastAsia"/>
              </w:rPr>
              <w:t xml:space="preserve"> R., Nickel </w:t>
            </w:r>
            <w:proofErr w:type="spellStart"/>
            <w:r>
              <w:rPr>
                <w:rFonts w:ascii="Arial" w:hAnsi="Arial" w:cs="Arial" w:hint="eastAsia"/>
              </w:rPr>
              <w:t>W.Traffic</w:t>
            </w:r>
            <w:proofErr w:type="spellEnd"/>
            <w:r>
              <w:rPr>
                <w:rFonts w:ascii="Arial" w:hAnsi="Arial" w:cs="Arial" w:hint="eastAsia"/>
              </w:rPr>
              <w:t xml:space="preserve"> 11:813-826(2010).</w:t>
            </w:r>
          </w:p>
        </w:tc>
      </w:tr>
    </w:tbl>
    <w:p w:rsidR="00A74C4C" w:rsidRDefault="00A74C4C"/>
    <w:sectPr w:rsidR="00A74C4C" w:rsidSect="006758FB">
      <w:headerReference w:type="default" r:id="rId8"/>
      <w:pgSz w:w="11906" w:h="16838"/>
      <w:pgMar w:top="1701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41" w:rsidRDefault="00073141">
      <w:r>
        <w:separator/>
      </w:r>
    </w:p>
  </w:endnote>
  <w:endnote w:type="continuationSeparator" w:id="0">
    <w:p w:rsidR="00073141" w:rsidRDefault="000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41" w:rsidRDefault="00073141">
      <w:r>
        <w:separator/>
      </w:r>
    </w:p>
  </w:footnote>
  <w:footnote w:type="continuationSeparator" w:id="0">
    <w:p w:rsidR="00073141" w:rsidRDefault="0007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4C" w:rsidRDefault="00073141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27.7pt;margin-top:-44.8pt;width:595.5pt;height:842.25pt;z-index:-1">
          <v:imagedata r:id="rId1" o:title=""/>
        </v:shape>
      </w:pict>
    </w:r>
  </w:p>
  <w:p w:rsidR="00A74C4C" w:rsidRDefault="00A74C4C">
    <w:pPr>
      <w:pStyle w:val="a5"/>
      <w:pBdr>
        <w:bottom w:val="none" w:sz="0" w:space="0" w:color="auto"/>
      </w:pBdr>
    </w:pPr>
  </w:p>
  <w:p w:rsidR="00A74C4C" w:rsidRDefault="00A74C4C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C4C"/>
    <w:rsid w:val="00073141"/>
    <w:rsid w:val="00205373"/>
    <w:rsid w:val="005F628B"/>
    <w:rsid w:val="006758FB"/>
    <w:rsid w:val="007D5CD6"/>
    <w:rsid w:val="00A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uiPriority w:val="22"/>
    <w:qFormat/>
    <w:locked/>
    <w:rPr>
      <w:b/>
      <w:bCs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full">
    <w:name w:val="ful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anti-human KIAA1199 polyclonal Antibody</dc:title>
  <dc:creator>Administrator</dc:creator>
  <cp:lastModifiedBy>Microsoft</cp:lastModifiedBy>
  <cp:revision>3</cp:revision>
  <cp:lastPrinted>2012-05-31T05:52:00Z</cp:lastPrinted>
  <dcterms:created xsi:type="dcterms:W3CDTF">2014-01-09T06:27:00Z</dcterms:created>
  <dcterms:modified xsi:type="dcterms:W3CDTF">2014-07-10T08:44:00Z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