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65" w:rsidRDefault="00AE3456" w:rsidP="000B2665">
      <w:pPr>
        <w:spacing w:beforeLines="50" w:before="156" w:line="440" w:lineRule="exact"/>
        <w:rPr>
          <w:rFonts w:ascii="Arial" w:hAnsi="Arial" w:cs="Arial" w:hint="eastAsia"/>
          <w:b/>
          <w:sz w:val="28"/>
          <w:szCs w:val="28"/>
        </w:rPr>
      </w:pPr>
      <w:r>
        <w:rPr>
          <w:rFonts w:ascii="Arial" w:hAnsi="Arial" w:cs="Arial"/>
          <w:b/>
          <w:sz w:val="28"/>
          <w:szCs w:val="28"/>
        </w:rPr>
        <w:t>Rabbit anti-</w:t>
      </w:r>
      <w:r>
        <w:rPr>
          <w:rFonts w:ascii="Arial" w:hAnsi="Arial" w:cs="Arial" w:hint="eastAsia"/>
          <w:b/>
          <w:sz w:val="28"/>
          <w:szCs w:val="28"/>
        </w:rPr>
        <w:t xml:space="preserve">Mycobacterium tuberculosis </w:t>
      </w:r>
      <w:proofErr w:type="gramStart"/>
      <w:r>
        <w:rPr>
          <w:rFonts w:ascii="Arial" w:hAnsi="Arial" w:cs="Arial" w:hint="eastAsia"/>
          <w:b/>
          <w:sz w:val="28"/>
          <w:szCs w:val="28"/>
        </w:rPr>
        <w:t>Immunogenic</w:t>
      </w:r>
      <w:proofErr w:type="gramEnd"/>
      <w:r>
        <w:rPr>
          <w:rFonts w:ascii="Arial" w:hAnsi="Arial" w:cs="Arial" w:hint="eastAsia"/>
          <w:b/>
          <w:sz w:val="28"/>
          <w:szCs w:val="28"/>
        </w:rPr>
        <w:t xml:space="preserve"> protein MPT64 </w:t>
      </w:r>
    </w:p>
    <w:p w:rsidR="00BD3B11" w:rsidRDefault="00AE3456" w:rsidP="000B2665">
      <w:pPr>
        <w:spacing w:line="360" w:lineRule="exact"/>
        <w:rPr>
          <w:rFonts w:ascii="Arial" w:hAnsi="Arial" w:cs="Arial"/>
          <w:b/>
          <w:sz w:val="28"/>
          <w:szCs w:val="28"/>
        </w:rPr>
      </w:pPr>
      <w:proofErr w:type="gramStart"/>
      <w:r>
        <w:rPr>
          <w:rFonts w:ascii="Arial" w:hAnsi="Arial" w:cs="Arial" w:hint="eastAsia"/>
          <w:b/>
          <w:sz w:val="28"/>
          <w:szCs w:val="28"/>
        </w:rPr>
        <w:t>polyclonal</w:t>
      </w:r>
      <w:proofErr w:type="gramEnd"/>
      <w:r>
        <w:rPr>
          <w:rFonts w:ascii="Arial" w:hAnsi="Arial" w:cs="Arial" w:hint="eastAsia"/>
          <w:b/>
          <w:sz w:val="28"/>
          <w:szCs w:val="28"/>
        </w:rPr>
        <w:t xml:space="preserve"> Antibody;</w:t>
      </w:r>
      <w:r w:rsidR="006564AF">
        <w:rPr>
          <w:rFonts w:ascii="Arial" w:hAnsi="Arial" w:cs="Arial" w:hint="eastAsia"/>
          <w:b/>
          <w:sz w:val="28"/>
          <w:szCs w:val="28"/>
        </w:rPr>
        <w:t xml:space="preserve"> </w:t>
      </w:r>
      <w:r>
        <w:rPr>
          <w:rFonts w:ascii="Arial" w:hAnsi="Arial" w:cs="Arial" w:hint="eastAsia"/>
          <w:b/>
          <w:bCs/>
          <w:kern w:val="0"/>
          <w:sz w:val="28"/>
          <w:szCs w:val="28"/>
        </w:rPr>
        <w:t xml:space="preserve">FITC </w:t>
      </w:r>
      <w:r>
        <w:rPr>
          <w:rFonts w:ascii="Arial" w:hAnsi="Arial" w:cs="Arial"/>
          <w:b/>
          <w:bCs/>
          <w:kern w:val="0"/>
          <w:sz w:val="28"/>
          <w:szCs w:val="28"/>
        </w:rPr>
        <w:t>conjugated</w:t>
      </w:r>
    </w:p>
    <w:p w:rsidR="00BD3B11" w:rsidRDefault="00AE3456" w:rsidP="000B2665">
      <w:pPr>
        <w:spacing w:beforeLines="50" w:before="156" w:afterLines="50" w:after="156" w:line="160" w:lineRule="exact"/>
        <w:rPr>
          <w:rFonts w:ascii="Arial" w:hAnsi="Arial" w:cs="Arial"/>
          <w:b/>
          <w:bCs/>
          <w:kern w:val="0"/>
          <w:sz w:val="24"/>
        </w:rPr>
      </w:pPr>
      <w:r>
        <w:rPr>
          <w:rFonts w:ascii="Arial" w:hAnsi="Arial" w:cs="Arial"/>
          <w:b/>
          <w:bCs/>
          <w:kern w:val="0"/>
          <w:sz w:val="24"/>
        </w:rPr>
        <w:t>Catalog Number:</w:t>
      </w:r>
      <w:r>
        <w:rPr>
          <w:rFonts w:ascii="Arial" w:hAnsi="Arial" w:cs="Arial"/>
          <w:sz w:val="24"/>
        </w:rPr>
        <w:t xml:space="preserve"> </w:t>
      </w:r>
      <w:bookmarkStart w:id="0" w:name="OLE_LINK1"/>
      <w:r>
        <w:rPr>
          <w:rFonts w:ascii="Arial" w:hAnsi="Arial" w:cs="Arial"/>
          <w:b/>
          <w:bCs/>
          <w:kern w:val="0"/>
          <w:sz w:val="24"/>
        </w:rPr>
        <w:t>CSB-PA</w:t>
      </w:r>
      <w:r>
        <w:rPr>
          <w:rFonts w:ascii="Arial" w:hAnsi="Arial" w:cs="Arial" w:hint="eastAsia"/>
          <w:b/>
          <w:bCs/>
          <w:kern w:val="0"/>
          <w:sz w:val="24"/>
        </w:rPr>
        <w:t>14949C</w:t>
      </w:r>
      <w:r>
        <w:rPr>
          <w:rFonts w:ascii="Arial" w:hAnsi="Arial" w:cs="Arial"/>
          <w:b/>
          <w:bCs/>
          <w:kern w:val="0"/>
          <w:sz w:val="24"/>
        </w:rPr>
        <w:t>0Rb</w:t>
      </w:r>
      <w:bookmarkEnd w:id="0"/>
    </w:p>
    <w:tbl>
      <w:tblPr>
        <w:tblpPr w:leftFromText="180" w:rightFromText="180" w:vertAnchor="text" w:tblpX="-318" w:tblpY="1"/>
        <w:tblOverlap w:val="never"/>
        <w:tblW w:w="1130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76"/>
        <w:gridCol w:w="8931"/>
      </w:tblGrid>
      <w:tr w:rsidR="00BD3B11" w:rsidTr="000B2665">
        <w:trPr>
          <w:trHeight w:val="132"/>
        </w:trPr>
        <w:tc>
          <w:tcPr>
            <w:tcW w:w="2376" w:type="dxa"/>
            <w:tcBorders>
              <w:top w:val="single" w:sz="4" w:space="0" w:color="000000"/>
              <w:left w:val="single" w:sz="4" w:space="0" w:color="000000"/>
              <w:bottom w:val="single" w:sz="6" w:space="0" w:color="000000"/>
              <w:right w:val="single" w:sz="6" w:space="0" w:color="000000"/>
            </w:tcBorders>
          </w:tcPr>
          <w:p w:rsidR="00BD3B11" w:rsidRDefault="00AE3456" w:rsidP="000B2665">
            <w:pPr>
              <w:spacing w:line="360" w:lineRule="exact"/>
              <w:rPr>
                <w:rFonts w:ascii="Arial" w:hAnsi="Arial" w:cs="Arial"/>
                <w:b/>
                <w:bCs/>
                <w:kern w:val="0"/>
              </w:rPr>
            </w:pPr>
            <w:r>
              <w:rPr>
                <w:rFonts w:ascii="Arial" w:hAnsi="Arial" w:cs="Arial"/>
                <w:b/>
                <w:bCs/>
                <w:kern w:val="0"/>
              </w:rPr>
              <w:t>Synonym Names</w:t>
            </w:r>
          </w:p>
        </w:tc>
        <w:tc>
          <w:tcPr>
            <w:tcW w:w="8931" w:type="dxa"/>
            <w:tcBorders>
              <w:top w:val="single" w:sz="4" w:space="0" w:color="000000"/>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rPr>
            </w:pPr>
            <w:r>
              <w:rPr>
                <w:rFonts w:ascii="Arial" w:hAnsi="Arial" w:cs="Arial"/>
                <w:color w:val="000000"/>
                <w:shd w:val="clear" w:color="auto" w:fill="FFFFFF"/>
              </w:rPr>
              <w:t>Antigen MPT64,</w:t>
            </w:r>
            <w:r>
              <w:rPr>
                <w:rFonts w:ascii="Arial" w:hAnsi="Arial" w:cs="Arial"/>
                <w:bCs/>
                <w:color w:val="000000"/>
                <w:shd w:val="clear" w:color="auto" w:fill="FFFFFF"/>
              </w:rPr>
              <w:t>mpt64</w:t>
            </w:r>
            <w:r>
              <w:rPr>
                <w:rFonts w:ascii="Arial" w:hAnsi="Arial" w:cs="Arial"/>
              </w:rPr>
              <w:t xml:space="preserve"> ,</w:t>
            </w:r>
            <w:r>
              <w:rPr>
                <w:rFonts w:ascii="Arial" w:hAnsi="Arial" w:cs="Arial"/>
                <w:color w:val="000000"/>
                <w:shd w:val="clear" w:color="auto" w:fill="FFFFFF"/>
              </w:rPr>
              <w:t>MTCY39.39,Rv1980c</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vAlign w:val="center"/>
          </w:tcPr>
          <w:p w:rsidR="00BD3B11" w:rsidRDefault="00AE3456" w:rsidP="000B2665">
            <w:pPr>
              <w:spacing w:line="360" w:lineRule="exact"/>
              <w:rPr>
                <w:rFonts w:ascii="Arial" w:hAnsi="Arial" w:cs="Arial"/>
                <w:b/>
                <w:bCs/>
                <w:kern w:val="0"/>
              </w:rPr>
            </w:pPr>
            <w:r>
              <w:rPr>
                <w:rFonts w:ascii="Arial" w:hAnsi="Arial" w:cs="Arial"/>
                <w:b/>
                <w:bCs/>
                <w:kern w:val="0"/>
              </w:rPr>
              <w:t>Product type</w:t>
            </w:r>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color w:val="262626"/>
                <w:kern w:val="0"/>
              </w:rPr>
            </w:pPr>
            <w:r>
              <w:rPr>
                <w:rFonts w:ascii="Arial" w:hAnsi="Arial" w:cs="Arial"/>
                <w:color w:val="262626"/>
                <w:kern w:val="0"/>
              </w:rPr>
              <w:t>Primary antibodies</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vAlign w:val="center"/>
          </w:tcPr>
          <w:p w:rsidR="00BD3B11" w:rsidRDefault="00AE3456" w:rsidP="000B2665">
            <w:pPr>
              <w:spacing w:before="100" w:beforeAutospacing="1" w:after="100" w:afterAutospacing="1" w:line="360" w:lineRule="exact"/>
              <w:rPr>
                <w:rFonts w:ascii="Arial" w:hAnsi="Arial" w:cs="Arial"/>
                <w:color w:val="262626"/>
                <w:kern w:val="0"/>
              </w:rPr>
            </w:pPr>
            <w:r>
              <w:rPr>
                <w:rFonts w:ascii="Arial" w:hAnsi="Arial" w:cs="Arial"/>
                <w:b/>
                <w:bCs/>
                <w:kern w:val="0"/>
              </w:rPr>
              <w:t>Description</w:t>
            </w:r>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pPr>
            <w:r>
              <w:rPr>
                <w:rFonts w:ascii="Arial" w:hAnsi="Arial" w:cs="Arial"/>
                <w:color w:val="262626"/>
                <w:kern w:val="0"/>
              </w:rPr>
              <w:t>Rabbit polyclonal to</w:t>
            </w:r>
            <w:r>
              <w:rPr>
                <w:rFonts w:ascii="Arial" w:hAnsi="Arial" w:cs="Arial" w:hint="eastAsia"/>
                <w:color w:val="262626"/>
                <w:kern w:val="0"/>
              </w:rPr>
              <w:t xml:space="preserve"> </w:t>
            </w:r>
            <w:r>
              <w:rPr>
                <w:rFonts w:ascii="Arial" w:hAnsi="Arial" w:cs="Arial"/>
                <w:bCs/>
                <w:color w:val="000000"/>
                <w:shd w:val="clear" w:color="auto" w:fill="FFFFFF"/>
              </w:rPr>
              <w:t>mpt64</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vAlign w:val="center"/>
          </w:tcPr>
          <w:p w:rsidR="00BD3B11" w:rsidRDefault="00AE3456" w:rsidP="000B2665">
            <w:pPr>
              <w:spacing w:line="360" w:lineRule="exact"/>
              <w:rPr>
                <w:rFonts w:ascii="Arial" w:hAnsi="Arial" w:cs="Arial"/>
                <w:b/>
                <w:bCs/>
                <w:kern w:val="0"/>
              </w:rPr>
            </w:pPr>
            <w:proofErr w:type="spellStart"/>
            <w:r>
              <w:rPr>
                <w:rFonts w:ascii="Arial" w:hAnsi="Arial" w:cs="Arial"/>
                <w:b/>
                <w:bCs/>
                <w:color w:val="262626"/>
              </w:rPr>
              <w:t>Clonality</w:t>
            </w:r>
            <w:proofErr w:type="spellEnd"/>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color w:val="262626"/>
                <w:kern w:val="0"/>
              </w:rPr>
            </w:pPr>
            <w:r>
              <w:rPr>
                <w:rFonts w:ascii="Arial" w:hAnsi="Arial" w:cs="Arial"/>
                <w:color w:val="262626"/>
                <w:kern w:val="0"/>
              </w:rPr>
              <w:t>Polyclonal</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tcPr>
          <w:p w:rsidR="00BD3B11" w:rsidRDefault="00AE3456" w:rsidP="000B2665">
            <w:pPr>
              <w:spacing w:line="360" w:lineRule="exact"/>
              <w:rPr>
                <w:rFonts w:ascii="Arial" w:hAnsi="Arial" w:cs="Arial"/>
                <w:kern w:val="0"/>
              </w:rPr>
            </w:pPr>
            <w:proofErr w:type="spellStart"/>
            <w:r>
              <w:rPr>
                <w:rFonts w:ascii="Arial" w:hAnsi="Arial" w:cs="Arial"/>
                <w:b/>
                <w:bCs/>
                <w:color w:val="262626"/>
              </w:rPr>
              <w:t>Isotype</w:t>
            </w:r>
            <w:proofErr w:type="spellEnd"/>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kern w:val="0"/>
              </w:rPr>
            </w:pPr>
            <w:proofErr w:type="spellStart"/>
            <w:r>
              <w:rPr>
                <w:rFonts w:ascii="Arial" w:hAnsi="Arial" w:cs="Arial"/>
                <w:kern w:val="0"/>
              </w:rPr>
              <w:t>IgG</w:t>
            </w:r>
            <w:proofErr w:type="spellEnd"/>
          </w:p>
        </w:tc>
      </w:tr>
      <w:tr w:rsidR="00BD3B11" w:rsidTr="000B2665">
        <w:trPr>
          <w:trHeight w:val="319"/>
        </w:trPr>
        <w:tc>
          <w:tcPr>
            <w:tcW w:w="2376" w:type="dxa"/>
            <w:tcBorders>
              <w:top w:val="single" w:sz="6" w:space="0" w:color="000000"/>
              <w:left w:val="single" w:sz="4" w:space="0" w:color="000000"/>
              <w:bottom w:val="single" w:sz="6" w:space="0" w:color="000000"/>
              <w:right w:val="single" w:sz="6" w:space="0" w:color="000000"/>
            </w:tcBorders>
          </w:tcPr>
          <w:p w:rsidR="00BD3B11" w:rsidRDefault="00AE3456" w:rsidP="000B2665">
            <w:pPr>
              <w:spacing w:line="360" w:lineRule="exact"/>
              <w:rPr>
                <w:rFonts w:ascii="Arial" w:hAnsi="Arial" w:cs="Arial"/>
                <w:b/>
                <w:bCs/>
                <w:kern w:val="0"/>
              </w:rPr>
            </w:pPr>
            <w:r>
              <w:rPr>
                <w:rFonts w:ascii="Arial" w:hAnsi="Arial" w:cs="Arial"/>
                <w:b/>
                <w:bCs/>
                <w:color w:val="262626"/>
              </w:rPr>
              <w:t>Reacts with</w:t>
            </w:r>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line="360" w:lineRule="exact"/>
              <w:rPr>
                <w:rFonts w:ascii="Arial" w:hAnsi="Arial" w:cs="Arial"/>
                <w:color w:val="000000"/>
                <w:kern w:val="0"/>
              </w:rPr>
            </w:pPr>
            <w:r>
              <w:rPr>
                <w:rFonts w:ascii="Arial" w:hAnsi="宋体"/>
                <w:color w:val="333333"/>
                <w:shd w:val="clear" w:color="auto" w:fill="FFFFFF"/>
              </w:rPr>
              <w:t xml:space="preserve">Mycobacterium </w:t>
            </w:r>
            <w:proofErr w:type="spellStart"/>
            <w:r>
              <w:rPr>
                <w:rFonts w:ascii="Arial" w:hAnsi="宋体"/>
                <w:color w:val="333333"/>
                <w:shd w:val="clear" w:color="auto" w:fill="FFFFFF"/>
              </w:rPr>
              <w:t>tuberculosis</w:t>
            </w:r>
            <w:proofErr w:type="gramStart"/>
            <w:r>
              <w:rPr>
                <w:rFonts w:ascii="Arial" w:hAnsi="Arial" w:cs="Arial" w:hint="eastAsia"/>
                <w:kern w:val="0"/>
              </w:rPr>
              <w:t>;</w:t>
            </w:r>
            <w:r>
              <w:rPr>
                <w:rFonts w:ascii="Arial" w:hAnsi="Arial" w:cs="Arial"/>
                <w:kern w:val="0"/>
              </w:rPr>
              <w:t>Other</w:t>
            </w:r>
            <w:proofErr w:type="spellEnd"/>
            <w:proofErr w:type="gramEnd"/>
            <w:r>
              <w:rPr>
                <w:rFonts w:ascii="Arial" w:hAnsi="Arial" w:cs="Arial"/>
                <w:kern w:val="0"/>
              </w:rPr>
              <w:t xml:space="preserve"> species are not tested. Please decide the specificity by homology.</w:t>
            </w:r>
          </w:p>
        </w:tc>
      </w:tr>
      <w:tr w:rsidR="00BD3B11" w:rsidTr="000B2665">
        <w:trPr>
          <w:trHeight w:val="118"/>
        </w:trPr>
        <w:tc>
          <w:tcPr>
            <w:tcW w:w="2376" w:type="dxa"/>
            <w:tcBorders>
              <w:top w:val="single" w:sz="6" w:space="0" w:color="000000"/>
              <w:left w:val="single" w:sz="4" w:space="0" w:color="000000"/>
              <w:bottom w:val="single" w:sz="4" w:space="0" w:color="auto"/>
              <w:right w:val="single" w:sz="6" w:space="0" w:color="000000"/>
            </w:tcBorders>
          </w:tcPr>
          <w:p w:rsidR="00BD3B11" w:rsidRDefault="00AE3456" w:rsidP="000B2665">
            <w:pPr>
              <w:spacing w:line="360" w:lineRule="exact"/>
              <w:rPr>
                <w:rFonts w:ascii="Arial" w:hAnsi="Arial" w:cs="Arial"/>
                <w:b/>
                <w:bCs/>
                <w:kern w:val="0"/>
              </w:rPr>
            </w:pPr>
            <w:r>
              <w:rPr>
                <w:rFonts w:ascii="Arial" w:hAnsi="Arial" w:cs="Arial"/>
                <w:b/>
                <w:bCs/>
                <w:kern w:val="0"/>
              </w:rPr>
              <w:t>Conjugate</w:t>
            </w:r>
          </w:p>
        </w:tc>
        <w:tc>
          <w:tcPr>
            <w:tcW w:w="8931" w:type="dxa"/>
            <w:tcBorders>
              <w:top w:val="single" w:sz="6" w:space="0" w:color="000000"/>
              <w:left w:val="single" w:sz="6" w:space="0" w:color="000000"/>
              <w:bottom w:val="single" w:sz="4" w:space="0" w:color="auto"/>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kern w:val="0"/>
              </w:rPr>
            </w:pPr>
            <w:r>
              <w:rPr>
                <w:rFonts w:ascii="Arial" w:hAnsi="Arial" w:cs="Arial" w:hint="eastAsia"/>
                <w:kern w:val="0"/>
              </w:rPr>
              <w:t>FITC</w:t>
            </w:r>
            <w:r>
              <w:rPr>
                <w:rFonts w:ascii="Arial" w:hAnsi="Arial" w:cs="Arial"/>
                <w:kern w:val="0"/>
              </w:rPr>
              <w:t>-conjugated</w:t>
            </w:r>
          </w:p>
        </w:tc>
      </w:tr>
      <w:tr w:rsidR="00BD3B11" w:rsidTr="000B2665">
        <w:trPr>
          <w:trHeight w:val="70"/>
        </w:trPr>
        <w:tc>
          <w:tcPr>
            <w:tcW w:w="2376" w:type="dxa"/>
            <w:tcBorders>
              <w:top w:val="single" w:sz="4" w:space="0" w:color="auto"/>
              <w:left w:val="single" w:sz="4" w:space="0" w:color="000000"/>
              <w:bottom w:val="single" w:sz="6" w:space="0" w:color="000000"/>
              <w:right w:val="single" w:sz="6" w:space="0" w:color="000000"/>
            </w:tcBorders>
          </w:tcPr>
          <w:p w:rsidR="00BD3B11" w:rsidRDefault="00AE3456" w:rsidP="000B2665">
            <w:pPr>
              <w:spacing w:line="360" w:lineRule="exact"/>
              <w:rPr>
                <w:rFonts w:ascii="Arial" w:hAnsi="Arial" w:cs="Arial"/>
                <w:b/>
                <w:bCs/>
                <w:kern w:val="0"/>
              </w:rPr>
            </w:pPr>
            <w:r>
              <w:rPr>
                <w:rFonts w:ascii="Arial" w:hAnsi="Arial" w:cs="Arial"/>
                <w:b/>
                <w:bCs/>
                <w:kern w:val="0"/>
              </w:rPr>
              <w:t>Purity</w:t>
            </w:r>
          </w:p>
        </w:tc>
        <w:tc>
          <w:tcPr>
            <w:tcW w:w="8931" w:type="dxa"/>
            <w:tcBorders>
              <w:top w:val="single" w:sz="4" w:space="0" w:color="auto"/>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kern w:val="0"/>
              </w:rPr>
            </w:pPr>
            <w:proofErr w:type="spellStart"/>
            <w:r>
              <w:rPr>
                <w:rFonts w:ascii="Arial" w:hAnsi="Arial" w:cs="Arial"/>
                <w:kern w:val="0"/>
              </w:rPr>
              <w:t>Caprylic</w:t>
            </w:r>
            <w:proofErr w:type="spellEnd"/>
            <w:r>
              <w:rPr>
                <w:rFonts w:ascii="Arial" w:hAnsi="Arial" w:cs="Arial"/>
                <w:kern w:val="0"/>
              </w:rPr>
              <w:t xml:space="preserve"> Acid Ammonium Sulfate Precipitation purified</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vAlign w:val="center"/>
          </w:tcPr>
          <w:p w:rsidR="00BD3B11" w:rsidRDefault="00AE3456" w:rsidP="000B2665">
            <w:pPr>
              <w:spacing w:line="360" w:lineRule="exact"/>
              <w:rPr>
                <w:rFonts w:ascii="Arial" w:hAnsi="Arial" w:cs="Arial"/>
                <w:b/>
                <w:bCs/>
                <w:kern w:val="0"/>
              </w:rPr>
            </w:pPr>
            <w:r>
              <w:rPr>
                <w:rFonts w:ascii="Arial" w:hAnsi="Arial" w:cs="Arial"/>
                <w:b/>
                <w:bCs/>
                <w:kern w:val="0"/>
              </w:rPr>
              <w:t>Storage buffer</w:t>
            </w:r>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line="360" w:lineRule="exact"/>
              <w:rPr>
                <w:rFonts w:ascii="Arial" w:hAnsi="Arial" w:cs="Arial"/>
                <w:kern w:val="0"/>
              </w:rPr>
            </w:pPr>
            <w:r>
              <w:rPr>
                <w:rFonts w:ascii="Arial" w:hAnsi="Arial" w:cs="Arial"/>
                <w:kern w:val="0"/>
              </w:rPr>
              <w:t xml:space="preserve">Preservative: 0.03% </w:t>
            </w:r>
            <w:proofErr w:type="spellStart"/>
            <w:r>
              <w:rPr>
                <w:rFonts w:ascii="Arial" w:hAnsi="Arial" w:cs="Arial"/>
                <w:kern w:val="0"/>
              </w:rPr>
              <w:t>Proclin</w:t>
            </w:r>
            <w:proofErr w:type="spellEnd"/>
            <w:r>
              <w:rPr>
                <w:rFonts w:ascii="Arial" w:hAnsi="Arial" w:cs="Arial"/>
                <w:kern w:val="0"/>
              </w:rPr>
              <w:t xml:space="preserve"> 300</w:t>
            </w:r>
          </w:p>
          <w:p w:rsidR="00BD3B11" w:rsidRDefault="00AE3456" w:rsidP="000B2665">
            <w:pPr>
              <w:spacing w:line="360" w:lineRule="exact"/>
              <w:rPr>
                <w:rFonts w:ascii="Arial" w:hAnsi="Arial" w:cs="Arial"/>
              </w:rPr>
            </w:pPr>
            <w:r>
              <w:rPr>
                <w:rFonts w:ascii="Arial" w:hAnsi="Arial" w:cs="Arial"/>
                <w:kern w:val="0"/>
              </w:rPr>
              <w:t xml:space="preserve">Constituents: 50% Glycerol, </w:t>
            </w:r>
            <w:r>
              <w:rPr>
                <w:rFonts w:ascii="Arial" w:hAnsi="Arial" w:cs="Arial" w:hint="eastAsia"/>
                <w:kern w:val="0"/>
              </w:rPr>
              <w:t xml:space="preserve">20mM </w:t>
            </w:r>
            <w:bookmarkStart w:id="1" w:name="OLE_LINK2"/>
            <w:r>
              <w:rPr>
                <w:rFonts w:ascii="Arial" w:hAnsi="Arial" w:cs="Arial"/>
                <w:color w:val="333333"/>
              </w:rPr>
              <w:t>NaHCO3</w:t>
            </w:r>
            <w:bookmarkEnd w:id="1"/>
            <w:r>
              <w:rPr>
                <w:rFonts w:ascii="Arial" w:hAnsi="Arial" w:cs="Arial" w:hint="eastAsia"/>
                <w:color w:val="333333"/>
              </w:rPr>
              <w:t xml:space="preserve"> </w:t>
            </w:r>
            <w:r>
              <w:rPr>
                <w:rFonts w:ascii="Arial" w:hAnsi="Arial" w:cs="Arial"/>
                <w:kern w:val="0"/>
              </w:rPr>
              <w:t>PH 7.</w:t>
            </w:r>
            <w:r>
              <w:rPr>
                <w:rFonts w:ascii="Arial" w:hAnsi="Arial" w:cs="Arial" w:hint="eastAsia"/>
                <w:kern w:val="0"/>
              </w:rPr>
              <w:t>4</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vAlign w:val="center"/>
          </w:tcPr>
          <w:p w:rsidR="00BD3B11" w:rsidRDefault="00AE3456" w:rsidP="000B2665">
            <w:pPr>
              <w:spacing w:line="360" w:lineRule="exact"/>
              <w:rPr>
                <w:rFonts w:ascii="Arial" w:hAnsi="Arial" w:cs="Arial"/>
                <w:b/>
                <w:bCs/>
                <w:kern w:val="0"/>
              </w:rPr>
            </w:pPr>
            <w:r>
              <w:rPr>
                <w:rFonts w:ascii="Arial" w:hAnsi="Arial" w:cs="Arial"/>
                <w:b/>
                <w:bCs/>
                <w:kern w:val="0"/>
              </w:rPr>
              <w:t>Storage</w:t>
            </w:r>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line="360" w:lineRule="exact"/>
              <w:rPr>
                <w:rFonts w:ascii="Arial" w:hAnsi="Arial" w:cs="Arial"/>
                <w:kern w:val="0"/>
              </w:rPr>
            </w:pPr>
            <w:r>
              <w:rPr>
                <w:rFonts w:ascii="Arial" w:hAnsi="Arial" w:cs="Arial"/>
              </w:rPr>
              <w:t>Shipped at 4°C Upon delivery aliquot and store at -20°C or -80°C. Avoid repeated freeze.</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vAlign w:val="center"/>
          </w:tcPr>
          <w:p w:rsidR="00BD3B11" w:rsidRDefault="00AE3456" w:rsidP="000B2665">
            <w:pPr>
              <w:spacing w:line="360" w:lineRule="exact"/>
              <w:rPr>
                <w:rFonts w:ascii="Arial" w:hAnsi="Arial" w:cs="Arial"/>
                <w:b/>
                <w:bCs/>
                <w:kern w:val="0"/>
              </w:rPr>
            </w:pPr>
            <w:r>
              <w:rPr>
                <w:rFonts w:ascii="Arial" w:hAnsi="Arial" w:cs="Arial"/>
                <w:b/>
                <w:bCs/>
                <w:kern w:val="0"/>
              </w:rPr>
              <w:t>Form</w:t>
            </w:r>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color w:val="262626"/>
              </w:rPr>
            </w:pPr>
            <w:r>
              <w:rPr>
                <w:rFonts w:ascii="Arial" w:hAnsi="Arial" w:cs="Arial"/>
                <w:kern w:val="0"/>
              </w:rPr>
              <w:t xml:space="preserve">Liquid </w:t>
            </w:r>
          </w:p>
        </w:tc>
      </w:tr>
      <w:tr w:rsidR="00BD3B11" w:rsidTr="000B2665">
        <w:trPr>
          <w:trHeight w:val="65"/>
        </w:trPr>
        <w:tc>
          <w:tcPr>
            <w:tcW w:w="2376" w:type="dxa"/>
            <w:tcBorders>
              <w:top w:val="single" w:sz="6" w:space="0" w:color="000000"/>
              <w:left w:val="single" w:sz="4" w:space="0" w:color="000000"/>
              <w:bottom w:val="single" w:sz="6" w:space="0" w:color="000000"/>
              <w:right w:val="single" w:sz="6" w:space="0" w:color="000000"/>
            </w:tcBorders>
            <w:vAlign w:val="center"/>
          </w:tcPr>
          <w:p w:rsidR="00BD3B11" w:rsidRDefault="00AE3456" w:rsidP="000B2665">
            <w:pPr>
              <w:spacing w:line="360" w:lineRule="exact"/>
              <w:rPr>
                <w:rFonts w:ascii="Arial" w:hAnsi="Arial" w:cs="Arial"/>
                <w:kern w:val="0"/>
              </w:rPr>
            </w:pPr>
            <w:r>
              <w:rPr>
                <w:rFonts w:ascii="Arial" w:hAnsi="Arial" w:cs="Arial"/>
                <w:b/>
                <w:bCs/>
                <w:kern w:val="0"/>
              </w:rPr>
              <w:t>Raised in</w:t>
            </w:r>
          </w:p>
        </w:tc>
        <w:tc>
          <w:tcPr>
            <w:tcW w:w="8931" w:type="dxa"/>
            <w:tcBorders>
              <w:top w:val="single" w:sz="6" w:space="0" w:color="000000"/>
              <w:left w:val="single" w:sz="6" w:space="0" w:color="000000"/>
              <w:bottom w:val="single" w:sz="6" w:space="0" w:color="000000"/>
              <w:right w:val="single" w:sz="4" w:space="0" w:color="000000"/>
            </w:tcBorders>
            <w:vAlign w:val="center"/>
          </w:tcPr>
          <w:p w:rsidR="00BD3B11" w:rsidRDefault="00AE3456" w:rsidP="000B2665">
            <w:pPr>
              <w:spacing w:before="100" w:beforeAutospacing="1" w:after="100" w:afterAutospacing="1" w:line="360" w:lineRule="exact"/>
              <w:rPr>
                <w:rFonts w:ascii="Arial" w:hAnsi="Arial" w:cs="Arial"/>
                <w:color w:val="262626"/>
                <w:kern w:val="0"/>
              </w:rPr>
            </w:pPr>
            <w:r>
              <w:rPr>
                <w:rFonts w:ascii="Arial" w:hAnsi="Arial" w:cs="Arial"/>
                <w:kern w:val="0"/>
              </w:rPr>
              <w:t>Rabbit</w:t>
            </w:r>
          </w:p>
        </w:tc>
      </w:tr>
      <w:tr w:rsidR="00BD3B11" w:rsidTr="000B2665">
        <w:trPr>
          <w:trHeight w:val="65"/>
        </w:trPr>
        <w:tc>
          <w:tcPr>
            <w:tcW w:w="2376" w:type="dxa"/>
            <w:tcBorders>
              <w:top w:val="single" w:sz="6" w:space="0" w:color="000000"/>
              <w:left w:val="single" w:sz="4" w:space="0" w:color="000000"/>
              <w:bottom w:val="single" w:sz="4" w:space="0" w:color="auto"/>
              <w:right w:val="single" w:sz="6" w:space="0" w:color="000000"/>
            </w:tcBorders>
            <w:vAlign w:val="center"/>
          </w:tcPr>
          <w:p w:rsidR="005D5B44" w:rsidRDefault="00AE3456" w:rsidP="000B2665">
            <w:pPr>
              <w:spacing w:line="360" w:lineRule="exact"/>
              <w:rPr>
                <w:rFonts w:ascii="Arial" w:hAnsi="Arial" w:cs="Arial"/>
                <w:b/>
                <w:bCs/>
                <w:kern w:val="0"/>
              </w:rPr>
            </w:pPr>
            <w:r>
              <w:rPr>
                <w:rFonts w:ascii="Arial" w:hAnsi="Arial" w:cs="Arial"/>
                <w:b/>
                <w:bCs/>
                <w:kern w:val="0"/>
              </w:rPr>
              <w:t>Tested applications</w:t>
            </w:r>
          </w:p>
        </w:tc>
        <w:tc>
          <w:tcPr>
            <w:tcW w:w="8931" w:type="dxa"/>
            <w:tcBorders>
              <w:top w:val="single" w:sz="6" w:space="0" w:color="000000"/>
              <w:left w:val="single" w:sz="6" w:space="0" w:color="000000"/>
              <w:bottom w:val="single" w:sz="4" w:space="0" w:color="auto"/>
              <w:right w:val="single" w:sz="4" w:space="0" w:color="000000"/>
            </w:tcBorders>
            <w:vAlign w:val="center"/>
          </w:tcPr>
          <w:p w:rsidR="00BD3B11" w:rsidRDefault="00AE3456" w:rsidP="000B2665">
            <w:pPr>
              <w:spacing w:line="360" w:lineRule="exact"/>
              <w:rPr>
                <w:rFonts w:ascii="Arial" w:hAnsi="Arial" w:cs="Arial"/>
                <w:color w:val="000000"/>
              </w:rPr>
            </w:pPr>
            <w:r>
              <w:rPr>
                <w:rFonts w:ascii="Arial" w:eastAsia="宋体" w:hAnsi="Arial" w:cs="Arial"/>
                <w:szCs w:val="24"/>
              </w:rPr>
              <w:t>ELISA,</w:t>
            </w:r>
            <w:r w:rsidR="005D5B44">
              <w:rPr>
                <w:rFonts w:ascii="Arial" w:eastAsia="宋体" w:hAnsi="Arial" w:cs="Arial" w:hint="eastAsia"/>
                <w:szCs w:val="24"/>
              </w:rPr>
              <w:t xml:space="preserve"> </w:t>
            </w:r>
            <w:r>
              <w:rPr>
                <w:rFonts w:ascii="Arial" w:eastAsia="宋体" w:hAnsi="Arial" w:cs="Arial"/>
                <w:szCs w:val="24"/>
              </w:rPr>
              <w:t>WB</w:t>
            </w:r>
            <w:r w:rsidR="006564AF">
              <w:rPr>
                <w:rFonts w:ascii="Arial" w:eastAsia="宋体" w:hAnsi="Arial" w:cs="Arial" w:hint="eastAsia"/>
                <w:szCs w:val="24"/>
              </w:rPr>
              <w:t xml:space="preserve">; </w:t>
            </w:r>
            <w:r>
              <w:rPr>
                <w:rFonts w:ascii="Arial" w:eastAsia="宋体" w:hAnsi="Arial" w:cs="Arial"/>
                <w:szCs w:val="24"/>
              </w:rPr>
              <w:t>Not yet tested in other applications.</w:t>
            </w:r>
            <w:r>
              <w:rPr>
                <w:rStyle w:val="fullname"/>
                <w:rFonts w:ascii="Arial" w:hAnsi="Arial" w:cs="Arial" w:hint="eastAsia"/>
                <w:color w:val="000000"/>
              </w:rPr>
              <w:t xml:space="preserve">  </w:t>
            </w:r>
          </w:p>
        </w:tc>
      </w:tr>
      <w:tr w:rsidR="005D5B44" w:rsidTr="000B2665">
        <w:trPr>
          <w:trHeight w:val="255"/>
        </w:trPr>
        <w:tc>
          <w:tcPr>
            <w:tcW w:w="2376" w:type="dxa"/>
            <w:tcBorders>
              <w:top w:val="single" w:sz="4" w:space="0" w:color="auto"/>
              <w:left w:val="single" w:sz="4" w:space="0" w:color="000000"/>
              <w:bottom w:val="single" w:sz="4" w:space="0" w:color="auto"/>
              <w:right w:val="single" w:sz="6" w:space="0" w:color="000000"/>
            </w:tcBorders>
            <w:vAlign w:val="center"/>
          </w:tcPr>
          <w:p w:rsidR="005D5B44" w:rsidRDefault="005D5B44" w:rsidP="005D5B44">
            <w:pPr>
              <w:spacing w:line="360" w:lineRule="exact"/>
              <w:rPr>
                <w:rFonts w:ascii="Arial" w:hAnsi="Arial" w:cs="Arial"/>
                <w:b/>
                <w:bCs/>
                <w:kern w:val="0"/>
              </w:rPr>
            </w:pPr>
            <w:r w:rsidRPr="00DA344C">
              <w:rPr>
                <w:rFonts w:ascii="Arial" w:hAnsi="Arial" w:cs="Arial"/>
                <w:b/>
                <w:bCs/>
                <w:kern w:val="0"/>
              </w:rPr>
              <w:t>Function</w:t>
            </w:r>
          </w:p>
        </w:tc>
        <w:tc>
          <w:tcPr>
            <w:tcW w:w="8931" w:type="dxa"/>
            <w:tcBorders>
              <w:top w:val="single" w:sz="4" w:space="0" w:color="auto"/>
              <w:left w:val="single" w:sz="6" w:space="0" w:color="000000"/>
              <w:bottom w:val="single" w:sz="4" w:space="0" w:color="auto"/>
              <w:right w:val="single" w:sz="4" w:space="0" w:color="000000"/>
            </w:tcBorders>
            <w:vAlign w:val="center"/>
          </w:tcPr>
          <w:p w:rsidR="005D5B44" w:rsidRDefault="005D5B44" w:rsidP="005D5B44">
            <w:pPr>
              <w:spacing w:line="360" w:lineRule="exact"/>
              <w:rPr>
                <w:rFonts w:ascii="Arial" w:eastAsia="宋体" w:hAnsi="Arial" w:cs="Arial"/>
                <w:szCs w:val="24"/>
              </w:rPr>
            </w:pPr>
            <w:r w:rsidRPr="00DA344C">
              <w:rPr>
                <w:rFonts w:ascii="Arial" w:hAnsi="Arial" w:cs="Arial"/>
              </w:rPr>
              <w:t xml:space="preserve">The present invention relates to fusion proteins containing at least two Mycobacterium species antigens. In particular, it relates to nucleic acids encoding fusion proteins that include two or more individual M. tuberculosis antigens, which increase serological sensitivity </w:t>
            </w:r>
            <w:bookmarkStart w:id="2" w:name="_GoBack"/>
            <w:bookmarkEnd w:id="2"/>
            <w:r w:rsidRPr="00DA344C">
              <w:rPr>
                <w:rFonts w:ascii="Arial" w:hAnsi="Arial" w:cs="Arial"/>
              </w:rPr>
              <w:t>of sera from individuals infected with tuberculosis, and methods for their use in the diagnosis, treatment, and prevention of tuberculosis infection.</w:t>
            </w:r>
          </w:p>
        </w:tc>
      </w:tr>
      <w:tr w:rsidR="00BD3B11" w:rsidTr="000B2665">
        <w:trPr>
          <w:trHeight w:val="3022"/>
        </w:trPr>
        <w:tc>
          <w:tcPr>
            <w:tcW w:w="2376" w:type="dxa"/>
            <w:tcBorders>
              <w:top w:val="single" w:sz="6" w:space="0" w:color="000000"/>
              <w:left w:val="single" w:sz="4" w:space="0" w:color="000000"/>
              <w:bottom w:val="single" w:sz="4" w:space="0" w:color="000000"/>
              <w:right w:val="single" w:sz="6" w:space="0" w:color="000000"/>
            </w:tcBorders>
            <w:vAlign w:val="center"/>
          </w:tcPr>
          <w:p w:rsidR="00BD3B11" w:rsidRDefault="00AE3456" w:rsidP="005D5B44">
            <w:pPr>
              <w:spacing w:line="360" w:lineRule="exact"/>
              <w:rPr>
                <w:rFonts w:ascii="Arial" w:hAnsi="Arial" w:cs="Arial"/>
                <w:b/>
                <w:bCs/>
                <w:kern w:val="0"/>
              </w:rPr>
            </w:pPr>
            <w:r>
              <w:rPr>
                <w:rFonts w:ascii="Arial" w:hAnsi="Arial" w:cs="Arial"/>
                <w:b/>
                <w:bCs/>
                <w:kern w:val="0"/>
              </w:rPr>
              <w:t>References</w:t>
            </w:r>
          </w:p>
        </w:tc>
        <w:tc>
          <w:tcPr>
            <w:tcW w:w="8931" w:type="dxa"/>
            <w:tcBorders>
              <w:top w:val="single" w:sz="6" w:space="0" w:color="000000"/>
              <w:left w:val="single" w:sz="6" w:space="0" w:color="000000"/>
              <w:bottom w:val="single" w:sz="4" w:space="0" w:color="000000"/>
              <w:right w:val="single" w:sz="4" w:space="0" w:color="000000"/>
            </w:tcBorders>
            <w:vAlign w:val="center"/>
          </w:tcPr>
          <w:p w:rsidR="00BD3B11" w:rsidRDefault="00AE3456" w:rsidP="005D5B44">
            <w:pPr>
              <w:spacing w:line="360" w:lineRule="exact"/>
              <w:rPr>
                <w:rFonts w:ascii="Arial" w:hAnsi="Arial" w:cs="Arial"/>
              </w:rPr>
            </w:pPr>
            <w:r>
              <w:rPr>
                <w:rFonts w:ascii="Arial" w:hAnsi="Arial" w:cs="Arial"/>
              </w:rPr>
              <w:t>[</w:t>
            </w:r>
            <w:r>
              <w:rPr>
                <w:rFonts w:ascii="Arial" w:hAnsi="Arial" w:cs="Arial" w:hint="eastAsia"/>
              </w:rPr>
              <w:t>1</w:t>
            </w:r>
            <w:r>
              <w:rPr>
                <w:rFonts w:ascii="Arial" w:hAnsi="Arial" w:cs="Arial"/>
              </w:rPr>
              <w:t>]</w:t>
            </w:r>
            <w:r>
              <w:t xml:space="preserve"> </w:t>
            </w:r>
            <w:r>
              <w:rPr>
                <w:rFonts w:ascii="Arial" w:hAnsi="Arial" w:cs="Arial"/>
              </w:rPr>
              <w:t>"</w:t>
            </w:r>
            <w:r>
              <w:rPr>
                <w:rFonts w:ascii="Arial" w:hAnsi="Arial" w:cs="Arial" w:hint="eastAsia"/>
              </w:rPr>
              <w:t>A family of cross-reacting proteins secreted by Mycobacterium tuberculosis."</w:t>
            </w:r>
          </w:p>
          <w:p w:rsidR="00BD3B11" w:rsidRDefault="00AE3456" w:rsidP="005D5B44">
            <w:pPr>
              <w:spacing w:line="360" w:lineRule="exact"/>
              <w:rPr>
                <w:rFonts w:ascii="Arial" w:hAnsi="Arial" w:cs="Arial"/>
              </w:rPr>
            </w:pPr>
            <w:proofErr w:type="spellStart"/>
            <w:r>
              <w:rPr>
                <w:rFonts w:ascii="Arial" w:hAnsi="Arial" w:cs="Arial" w:hint="eastAsia"/>
              </w:rPr>
              <w:t>Wiker</w:t>
            </w:r>
            <w:proofErr w:type="spellEnd"/>
            <w:r>
              <w:rPr>
                <w:rFonts w:ascii="Arial" w:hAnsi="Arial" w:cs="Arial" w:hint="eastAsia"/>
              </w:rPr>
              <w:t xml:space="preserve"> H.G., Nagai S., </w:t>
            </w:r>
            <w:proofErr w:type="spellStart"/>
            <w:r>
              <w:rPr>
                <w:rFonts w:ascii="Arial" w:hAnsi="Arial" w:cs="Arial" w:hint="eastAsia"/>
              </w:rPr>
              <w:t>Harboe</w:t>
            </w:r>
            <w:proofErr w:type="spellEnd"/>
            <w:r>
              <w:rPr>
                <w:rFonts w:ascii="Arial" w:hAnsi="Arial" w:cs="Arial" w:hint="eastAsia"/>
              </w:rPr>
              <w:t xml:space="preserve"> M., </w:t>
            </w:r>
            <w:proofErr w:type="spellStart"/>
            <w:r>
              <w:rPr>
                <w:rFonts w:ascii="Arial" w:hAnsi="Arial" w:cs="Arial" w:hint="eastAsia"/>
              </w:rPr>
              <w:t>Ljungqvist</w:t>
            </w:r>
            <w:proofErr w:type="spellEnd"/>
            <w:r>
              <w:rPr>
                <w:rFonts w:ascii="Arial" w:hAnsi="Arial" w:cs="Arial" w:hint="eastAsia"/>
              </w:rPr>
              <w:t xml:space="preserve"> </w:t>
            </w:r>
            <w:proofErr w:type="spellStart"/>
            <w:r>
              <w:rPr>
                <w:rFonts w:ascii="Arial" w:hAnsi="Arial" w:cs="Arial" w:hint="eastAsia"/>
              </w:rPr>
              <w:t>L.Scand</w:t>
            </w:r>
            <w:proofErr w:type="spellEnd"/>
            <w:r>
              <w:rPr>
                <w:rFonts w:ascii="Arial" w:hAnsi="Arial" w:cs="Arial" w:hint="eastAsia"/>
              </w:rPr>
              <w:t xml:space="preserve">. J. </w:t>
            </w:r>
            <w:proofErr w:type="spellStart"/>
            <w:r>
              <w:rPr>
                <w:rFonts w:ascii="Arial" w:hAnsi="Arial" w:cs="Arial" w:hint="eastAsia"/>
              </w:rPr>
              <w:t>Immunol</w:t>
            </w:r>
            <w:proofErr w:type="spellEnd"/>
            <w:r>
              <w:rPr>
                <w:rFonts w:ascii="Arial" w:hAnsi="Arial" w:cs="Arial" w:hint="eastAsia"/>
              </w:rPr>
              <w:t>. 36:307-319(1992).</w:t>
            </w:r>
          </w:p>
          <w:p w:rsidR="00BD3B11" w:rsidRDefault="00AE3456" w:rsidP="005D5B44">
            <w:pPr>
              <w:spacing w:line="360" w:lineRule="exact"/>
              <w:rPr>
                <w:rFonts w:ascii="Arial" w:hAnsi="Arial" w:cs="Arial"/>
              </w:rPr>
            </w:pPr>
            <w:r>
              <w:rPr>
                <w:rFonts w:ascii="Arial" w:hAnsi="Arial" w:cs="Arial"/>
              </w:rPr>
              <w:t>[2]</w:t>
            </w:r>
            <w:r>
              <w:t xml:space="preserve"> </w:t>
            </w:r>
            <w:r>
              <w:rPr>
                <w:rFonts w:ascii="Arial" w:hAnsi="Arial" w:cs="Arial"/>
              </w:rPr>
              <w:t>"</w:t>
            </w:r>
            <w:r>
              <w:rPr>
                <w:rFonts w:ascii="Arial" w:hAnsi="Arial" w:cs="Arial" w:hint="eastAsia"/>
              </w:rPr>
              <w:t xml:space="preserve">Deciphering the biology of Mycobacterium tuberculosis from the complete genome </w:t>
            </w:r>
            <w:proofErr w:type="spellStart"/>
            <w:r>
              <w:rPr>
                <w:rFonts w:ascii="Arial" w:hAnsi="Arial" w:cs="Arial" w:hint="eastAsia"/>
              </w:rPr>
              <w:t>sequence."Cole</w:t>
            </w:r>
            <w:proofErr w:type="spellEnd"/>
            <w:r>
              <w:rPr>
                <w:rFonts w:ascii="Arial" w:hAnsi="Arial" w:cs="Arial" w:hint="eastAsia"/>
              </w:rPr>
              <w:t xml:space="preserve"> S.T., </w:t>
            </w:r>
            <w:proofErr w:type="spellStart"/>
            <w:r>
              <w:rPr>
                <w:rFonts w:ascii="Arial" w:hAnsi="Arial" w:cs="Arial" w:hint="eastAsia"/>
              </w:rPr>
              <w:t>Brosch</w:t>
            </w:r>
            <w:proofErr w:type="spellEnd"/>
            <w:r>
              <w:rPr>
                <w:rFonts w:ascii="Arial" w:hAnsi="Arial" w:cs="Arial" w:hint="eastAsia"/>
              </w:rPr>
              <w:t xml:space="preserve"> R., </w:t>
            </w:r>
            <w:proofErr w:type="spellStart"/>
            <w:r>
              <w:rPr>
                <w:rFonts w:ascii="Arial" w:hAnsi="Arial" w:cs="Arial" w:hint="eastAsia"/>
              </w:rPr>
              <w:t>Parkhill</w:t>
            </w:r>
            <w:proofErr w:type="spellEnd"/>
            <w:r>
              <w:rPr>
                <w:rFonts w:ascii="Arial" w:hAnsi="Arial" w:cs="Arial" w:hint="eastAsia"/>
              </w:rPr>
              <w:t xml:space="preserve"> J., </w:t>
            </w:r>
            <w:proofErr w:type="spellStart"/>
            <w:r>
              <w:rPr>
                <w:rFonts w:ascii="Arial" w:hAnsi="Arial" w:cs="Arial" w:hint="eastAsia"/>
              </w:rPr>
              <w:t>Garnier</w:t>
            </w:r>
            <w:proofErr w:type="spellEnd"/>
            <w:r>
              <w:rPr>
                <w:rFonts w:ascii="Arial" w:hAnsi="Arial" w:cs="Arial" w:hint="eastAsia"/>
              </w:rPr>
              <w:t xml:space="preserve"> T., </w:t>
            </w:r>
            <w:proofErr w:type="spellStart"/>
            <w:r>
              <w:rPr>
                <w:rFonts w:ascii="Arial" w:hAnsi="Arial" w:cs="Arial" w:hint="eastAsia"/>
              </w:rPr>
              <w:t>Churcher</w:t>
            </w:r>
            <w:proofErr w:type="spellEnd"/>
            <w:r>
              <w:rPr>
                <w:rFonts w:ascii="Arial" w:hAnsi="Arial" w:cs="Arial" w:hint="eastAsia"/>
              </w:rPr>
              <w:t xml:space="preserve"> C.M., Harris D.E., Gordon S.V., </w:t>
            </w:r>
            <w:proofErr w:type="spellStart"/>
            <w:r>
              <w:rPr>
                <w:rFonts w:ascii="Arial" w:hAnsi="Arial" w:cs="Arial" w:hint="eastAsia"/>
              </w:rPr>
              <w:t>Eiglmeier</w:t>
            </w:r>
            <w:proofErr w:type="spellEnd"/>
            <w:r>
              <w:rPr>
                <w:rFonts w:ascii="Arial" w:hAnsi="Arial" w:cs="Arial" w:hint="eastAsia"/>
              </w:rPr>
              <w:t xml:space="preserve"> K., Gas S., Barry C.E. III, </w:t>
            </w:r>
            <w:proofErr w:type="spellStart"/>
            <w:r>
              <w:rPr>
                <w:rFonts w:ascii="Arial" w:hAnsi="Arial" w:cs="Arial" w:hint="eastAsia"/>
              </w:rPr>
              <w:t>Tekaia</w:t>
            </w:r>
            <w:proofErr w:type="spellEnd"/>
            <w:r>
              <w:rPr>
                <w:rFonts w:ascii="Arial" w:hAnsi="Arial" w:cs="Arial" w:hint="eastAsia"/>
              </w:rPr>
              <w:t xml:space="preserve"> F., </w:t>
            </w:r>
            <w:proofErr w:type="spellStart"/>
            <w:r>
              <w:rPr>
                <w:rFonts w:ascii="Arial" w:hAnsi="Arial" w:cs="Arial" w:hint="eastAsia"/>
              </w:rPr>
              <w:t>Badcock</w:t>
            </w:r>
            <w:proofErr w:type="spellEnd"/>
            <w:r>
              <w:rPr>
                <w:rFonts w:ascii="Arial" w:hAnsi="Arial" w:cs="Arial" w:hint="eastAsia"/>
              </w:rPr>
              <w:t xml:space="preserve"> K., Basham D., Brown D., Chillingworth T., Connor R., Davies R.M., Devlin K.  </w:t>
            </w:r>
            <w:proofErr w:type="spellStart"/>
            <w:r>
              <w:rPr>
                <w:rFonts w:ascii="Arial" w:hAnsi="Arial" w:cs="Arial" w:hint="eastAsia"/>
              </w:rPr>
              <w:t>Barrell</w:t>
            </w:r>
            <w:proofErr w:type="spellEnd"/>
            <w:r>
              <w:rPr>
                <w:rFonts w:ascii="Arial" w:hAnsi="Arial" w:cs="Arial" w:hint="eastAsia"/>
              </w:rPr>
              <w:t xml:space="preserve"> B.G.</w:t>
            </w:r>
          </w:p>
          <w:p w:rsidR="00BD3B11" w:rsidRDefault="00AE3456" w:rsidP="005D5B44">
            <w:pPr>
              <w:spacing w:line="360" w:lineRule="exact"/>
              <w:rPr>
                <w:rFonts w:ascii="Arial" w:hAnsi="Arial" w:cs="Arial"/>
              </w:rPr>
            </w:pPr>
            <w:r>
              <w:rPr>
                <w:rFonts w:ascii="Arial" w:hAnsi="Arial" w:cs="Arial" w:hint="eastAsia"/>
              </w:rPr>
              <w:t>Nature 393:537-544(1998).</w:t>
            </w:r>
          </w:p>
          <w:p w:rsidR="00BD3B11" w:rsidRDefault="00AE3456" w:rsidP="005D5B44">
            <w:pPr>
              <w:spacing w:line="360" w:lineRule="exact"/>
              <w:rPr>
                <w:rFonts w:ascii="Arial" w:hAnsi="Arial" w:cs="Arial"/>
              </w:rPr>
            </w:pPr>
            <w:r>
              <w:rPr>
                <w:rFonts w:ascii="Arial" w:hAnsi="Arial" w:cs="Arial"/>
              </w:rPr>
              <w:t>[</w:t>
            </w:r>
            <w:r>
              <w:rPr>
                <w:rFonts w:ascii="Arial" w:hAnsi="Arial" w:cs="Arial" w:hint="eastAsia"/>
              </w:rPr>
              <w:t>3</w:t>
            </w:r>
            <w:r>
              <w:rPr>
                <w:rFonts w:ascii="Arial" w:hAnsi="Arial" w:cs="Arial"/>
              </w:rPr>
              <w:t>] "</w:t>
            </w:r>
            <w:r>
              <w:rPr>
                <w:rFonts w:ascii="Arial" w:hAnsi="Arial" w:cs="Arial" w:hint="eastAsia"/>
              </w:rPr>
              <w:t>High-level heterologous expression and secretion in rapidly growing nonpathogenic mycobacteria of four major Mycobacterium tuberculosis extracellular proteins considered to be leading vaccine candidates and drug targets."</w:t>
            </w:r>
          </w:p>
          <w:p w:rsidR="00BD3B11" w:rsidRDefault="00AE3456" w:rsidP="005D5B44">
            <w:pPr>
              <w:spacing w:line="360" w:lineRule="exact"/>
              <w:rPr>
                <w:rFonts w:ascii="Arial" w:hAnsi="Arial" w:cs="Arial"/>
              </w:rPr>
            </w:pPr>
            <w:proofErr w:type="spellStart"/>
            <w:r>
              <w:rPr>
                <w:rFonts w:ascii="Arial" w:hAnsi="Arial" w:cs="Arial" w:hint="eastAsia"/>
              </w:rPr>
              <w:t>Harth</w:t>
            </w:r>
            <w:proofErr w:type="spellEnd"/>
            <w:r>
              <w:rPr>
                <w:rFonts w:ascii="Arial" w:hAnsi="Arial" w:cs="Arial" w:hint="eastAsia"/>
              </w:rPr>
              <w:t xml:space="preserve"> G., Lee B.Y., </w:t>
            </w:r>
            <w:proofErr w:type="spellStart"/>
            <w:r>
              <w:rPr>
                <w:rFonts w:ascii="Arial" w:hAnsi="Arial" w:cs="Arial" w:hint="eastAsia"/>
              </w:rPr>
              <w:t>Horwitz</w:t>
            </w:r>
            <w:proofErr w:type="spellEnd"/>
            <w:r>
              <w:rPr>
                <w:rFonts w:ascii="Arial" w:hAnsi="Arial" w:cs="Arial" w:hint="eastAsia"/>
              </w:rPr>
              <w:t xml:space="preserve"> </w:t>
            </w:r>
            <w:proofErr w:type="spellStart"/>
            <w:r>
              <w:rPr>
                <w:rFonts w:ascii="Arial" w:hAnsi="Arial" w:cs="Arial" w:hint="eastAsia"/>
              </w:rPr>
              <w:t>M.A.Infect</w:t>
            </w:r>
            <w:proofErr w:type="spellEnd"/>
            <w:r>
              <w:rPr>
                <w:rFonts w:ascii="Arial" w:hAnsi="Arial" w:cs="Arial" w:hint="eastAsia"/>
              </w:rPr>
              <w:t>. Immun. 65:2321-2328(1997).</w:t>
            </w:r>
          </w:p>
        </w:tc>
      </w:tr>
    </w:tbl>
    <w:p w:rsidR="00BD3B11" w:rsidRDefault="00BD3B11"/>
    <w:sectPr w:rsidR="00BD3B11">
      <w:headerReference w:type="default" r:id="rId8"/>
      <w:pgSz w:w="11906" w:h="16838"/>
      <w:pgMar w:top="567"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F2" w:rsidRDefault="00B657F2">
      <w:r>
        <w:separator/>
      </w:r>
    </w:p>
  </w:endnote>
  <w:endnote w:type="continuationSeparator" w:id="0">
    <w:p w:rsidR="00B657F2" w:rsidRDefault="00B6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F2" w:rsidRDefault="00B657F2">
      <w:r>
        <w:separator/>
      </w:r>
    </w:p>
  </w:footnote>
  <w:footnote w:type="continuationSeparator" w:id="0">
    <w:p w:rsidR="00B657F2" w:rsidRDefault="00B6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11" w:rsidRDefault="00B657F2">
    <w:pPr>
      <w:pStyle w:val="a5"/>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28.45pt;margin-top:-54.55pt;width:595.5pt;height:842.25pt;z-index:-1">
          <v:imagedata r:id="rId1" o:title=""/>
        </v:shape>
      </w:pict>
    </w:r>
  </w:p>
  <w:p w:rsidR="00BD3B11" w:rsidRDefault="00BD3B11">
    <w:pPr>
      <w:pStyle w:val="a5"/>
      <w:pBdr>
        <w:bottom w:val="none" w:sz="0" w:space="0" w:color="auto"/>
      </w:pBdr>
    </w:pPr>
  </w:p>
  <w:p w:rsidR="00BD3B11" w:rsidRDefault="00BD3B11">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B11"/>
    <w:rsid w:val="000B2665"/>
    <w:rsid w:val="005D5B44"/>
    <w:rsid w:val="006564AF"/>
    <w:rsid w:val="00AE3456"/>
    <w:rsid w:val="00B657F2"/>
    <w:rsid w:val="00BD3B11"/>
    <w:rsid w:val="00D6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方正姚体" w:hAnsi="Arial Narrow" w:cs="Arial Narrow"/>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semiHidden="0" w:uiPriority="99" w:unhideWhenUsed="0" w:qFormat="1"/>
    <w:lsdException w:name="Default Paragraph Font" w:uiPriority="1"/>
    <w:lsdException w:name="Subtitle" w:locked="1" w:semiHidden="0" w:unhideWhenUsed="0" w:qFormat="1"/>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99"/>
    <w:qFormat/>
    <w:pPr>
      <w:spacing w:before="240" w:after="60"/>
      <w:jc w:val="center"/>
      <w:outlineLvl w:val="0"/>
    </w:pPr>
    <w:rPr>
      <w:rFonts w:eastAsia="宋体"/>
      <w:b/>
      <w:bCs/>
      <w:sz w:val="32"/>
      <w:szCs w:val="32"/>
    </w:rPr>
  </w:style>
  <w:style w:type="character" w:styleId="a7">
    <w:name w:val="Strong"/>
    <w:uiPriority w:val="22"/>
    <w:qFormat/>
    <w:locked/>
    <w:rPr>
      <w:b/>
      <w:bCs/>
    </w:r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Arial Narrow" w:eastAsia="方正姚体" w:hAnsi="Arial Narrow" w:cs="Times New Roman"/>
      <w:b/>
      <w:bCs/>
      <w:sz w:val="32"/>
      <w:szCs w:val="32"/>
    </w:rPr>
  </w:style>
  <w:style w:type="character" w:customStyle="1" w:styleId="3Char">
    <w:name w:val="标题 3 Char"/>
    <w:link w:val="3"/>
    <w:uiPriority w:val="99"/>
    <w:locked/>
    <w:rPr>
      <w:rFonts w:cs="Times New Roman"/>
      <w:b/>
      <w:bCs/>
      <w:sz w:val="32"/>
      <w:szCs w:val="32"/>
    </w:rPr>
  </w:style>
  <w:style w:type="character" w:customStyle="1" w:styleId="4Char">
    <w:name w:val="标题 4 Char"/>
    <w:link w:val="4"/>
    <w:uiPriority w:val="99"/>
    <w:locked/>
    <w:rPr>
      <w:rFonts w:ascii="Arial Narrow" w:eastAsia="方正姚体" w:hAnsi="Arial Narrow" w:cs="Times New Roman"/>
      <w:b/>
      <w:bCs/>
      <w:sz w:val="28"/>
      <w:szCs w:val="28"/>
    </w:rPr>
  </w:style>
  <w:style w:type="character" w:customStyle="1" w:styleId="Char2">
    <w:name w:val="标题 Char"/>
    <w:link w:val="a6"/>
    <w:uiPriority w:val="99"/>
    <w:locked/>
    <w:rPr>
      <w:rFonts w:ascii="Arial Narrow" w:eastAsia="宋体" w:hAnsi="Arial Narrow" w:cs="Times New Roman"/>
      <w:b/>
      <w:bCs/>
      <w:sz w:val="32"/>
      <w:szCs w:val="32"/>
    </w:rPr>
  </w:style>
  <w:style w:type="character" w:customStyle="1" w:styleId="Char">
    <w:name w:val="批注框文本 Char"/>
    <w:link w:val="a3"/>
    <w:uiPriority w:val="99"/>
    <w:semiHidden/>
    <w:locked/>
    <w:rPr>
      <w:rFonts w:cs="Times New Roman"/>
      <w:sz w:val="18"/>
      <w:szCs w:val="18"/>
    </w:rPr>
  </w:style>
  <w:style w:type="character" w:customStyle="1" w:styleId="Char1">
    <w:name w:val="页眉 Char"/>
    <w:link w:val="a5"/>
    <w:uiPriority w:val="99"/>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fullname">
    <w:name w:val="full_name"/>
    <w:basedOn w:val="a0"/>
  </w:style>
  <w:style w:type="character" w:customStyle="1" w:styleId="full">
    <w:name w:val="full"/>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anti-human KIAA1199 polyclonal Antibody</dc:title>
  <dc:creator>Administrator</dc:creator>
  <cp:lastModifiedBy>Microsoft</cp:lastModifiedBy>
  <cp:revision>3</cp:revision>
  <cp:lastPrinted>2012-05-31T05:52:00Z</cp:lastPrinted>
  <dcterms:created xsi:type="dcterms:W3CDTF">2014-01-09T06:27:00Z</dcterms:created>
  <dcterms:modified xsi:type="dcterms:W3CDTF">2014-06-17T05:33:00Z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